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D4A" w:rsidRDefault="00AF3D4A" w:rsidP="00AF3D4A">
      <w:pPr>
        <w:spacing w:after="0" w:line="36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To:</w:t>
      </w:r>
      <w:r>
        <w:rPr>
          <w:rFonts w:cstheme="minorHAnsi"/>
          <w:b/>
          <w:bCs/>
        </w:rPr>
        <w:tab/>
        <w:t>Orthodox Union Partners &amp; Community Leaders</w:t>
      </w:r>
    </w:p>
    <w:p w:rsidR="00AF3D4A" w:rsidRDefault="00AF3D4A" w:rsidP="00AF3D4A">
      <w:pPr>
        <w:spacing w:after="0" w:line="36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From:</w:t>
      </w:r>
      <w:r>
        <w:rPr>
          <w:rFonts w:cstheme="minorHAnsi"/>
          <w:b/>
          <w:bCs/>
        </w:rPr>
        <w:tab/>
        <w:t>Nathan Diament, Exec. Director, OU Advocacy</w:t>
      </w:r>
      <w:r>
        <w:rPr>
          <w:rFonts w:cstheme="minorHAnsi"/>
          <w:b/>
          <w:bCs/>
        </w:rPr>
        <w:br/>
        <w:t>Date:</w:t>
      </w:r>
      <w:r>
        <w:rPr>
          <w:rFonts w:cstheme="minorHAnsi"/>
          <w:b/>
          <w:bCs/>
        </w:rPr>
        <w:tab/>
        <w:t>March 25, 2020</w:t>
      </w:r>
    </w:p>
    <w:p w:rsidR="00A5535F" w:rsidRDefault="00A5535F" w:rsidP="00006D0A">
      <w:pPr>
        <w:spacing w:after="0" w:line="360" w:lineRule="auto"/>
        <w:jc w:val="center"/>
        <w:rPr>
          <w:rFonts w:cstheme="minorHAnsi"/>
        </w:rPr>
      </w:pPr>
      <w:r>
        <w:rPr>
          <w:rFonts w:cstheme="minorHAnsi"/>
          <w:b/>
          <w:bCs/>
        </w:rPr>
        <w:t>Memorandum to OU Community Institutions</w:t>
      </w:r>
    </w:p>
    <w:p w:rsidR="00243284" w:rsidRDefault="00A5535F" w:rsidP="00006D0A">
      <w:pPr>
        <w:spacing w:after="0" w:line="360" w:lineRule="auto"/>
        <w:jc w:val="center"/>
        <w:rPr>
          <w:rFonts w:cstheme="minorHAnsi"/>
          <w:b/>
          <w:bCs/>
        </w:rPr>
      </w:pPr>
      <w:r w:rsidRPr="00AF3D4A">
        <w:rPr>
          <w:rFonts w:cstheme="minorHAnsi"/>
          <w:b/>
        </w:rPr>
        <w:t xml:space="preserve">Initial Guidance re: </w:t>
      </w:r>
      <w:r w:rsidR="00243284" w:rsidRPr="00FE09FA">
        <w:rPr>
          <w:rFonts w:cstheme="minorHAnsi"/>
          <w:b/>
          <w:bCs/>
        </w:rPr>
        <w:t>“Coronavirus Aid, Relief, and Economic Security Act” (“CARES Act”)</w:t>
      </w:r>
    </w:p>
    <w:p w:rsidR="00AF3D4A" w:rsidRDefault="00AF3D4A" w:rsidP="00006D0A">
      <w:pPr>
        <w:shd w:val="clear" w:color="auto" w:fill="FFFFFF"/>
        <w:spacing w:after="0" w:line="360" w:lineRule="auto"/>
        <w:rPr>
          <w:rFonts w:cstheme="minorHAnsi"/>
          <w:b/>
          <w:bCs/>
        </w:rPr>
      </w:pPr>
    </w:p>
    <w:p w:rsidR="00D54241" w:rsidRDefault="00A5535F" w:rsidP="009C34F2">
      <w:pPr>
        <w:shd w:val="clear" w:color="auto" w:fill="FFFFFF"/>
        <w:spacing w:after="0" w:line="360" w:lineRule="auto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 xml:space="preserve">For the past 2 weeks, as the Coronavirus emergency has heightened and Congress and the White House have worked to craft and pass a massive $2 trillion aid package, OU Advocacy has been working </w:t>
      </w:r>
      <w:r w:rsidR="00E843E1">
        <w:rPr>
          <w:rFonts w:eastAsia="Times New Roman" w:cstheme="minorHAnsi"/>
          <w:color w:val="333333"/>
        </w:rPr>
        <w:t xml:space="preserve">intensely </w:t>
      </w:r>
      <w:r>
        <w:rPr>
          <w:rFonts w:eastAsia="Times New Roman" w:cstheme="minorHAnsi"/>
          <w:color w:val="333333"/>
        </w:rPr>
        <w:t>to have the needs of our community’s shuls, schools and other institutions included as much as possible.</w:t>
      </w:r>
      <w:r w:rsidR="00D54241">
        <w:rPr>
          <w:rFonts w:eastAsia="Times New Roman" w:cstheme="minorHAnsi"/>
          <w:color w:val="333333"/>
        </w:rPr>
        <w:t xml:space="preserve">  </w:t>
      </w:r>
      <w:r w:rsidR="00E56127">
        <w:rPr>
          <w:rFonts w:eastAsia="Times New Roman" w:cstheme="minorHAnsi"/>
          <w:color w:val="333333"/>
        </w:rPr>
        <w:t>Today</w:t>
      </w:r>
      <w:r w:rsidR="00243284" w:rsidRPr="00FE09FA">
        <w:rPr>
          <w:rFonts w:eastAsia="Times New Roman" w:cstheme="minorHAnsi"/>
          <w:color w:val="333333"/>
        </w:rPr>
        <w:t xml:space="preserve">, </w:t>
      </w:r>
      <w:r>
        <w:rPr>
          <w:rFonts w:eastAsia="Times New Roman" w:cstheme="minorHAnsi"/>
          <w:color w:val="333333"/>
        </w:rPr>
        <w:t xml:space="preserve">Congress is on the verge of passing this legislation and we offer you </w:t>
      </w:r>
      <w:r w:rsidR="00E843E1">
        <w:rPr>
          <w:rFonts w:eastAsia="Times New Roman" w:cstheme="minorHAnsi"/>
          <w:color w:val="333333"/>
        </w:rPr>
        <w:t xml:space="preserve">a preliminary </w:t>
      </w:r>
      <w:r>
        <w:rPr>
          <w:rFonts w:eastAsia="Times New Roman" w:cstheme="minorHAnsi"/>
          <w:color w:val="333333"/>
        </w:rPr>
        <w:t>outline of the bill’s provisions potentially relevant to your organization.</w:t>
      </w:r>
      <w:r w:rsidR="00DC7D3C">
        <w:rPr>
          <w:rFonts w:eastAsia="Times New Roman" w:cstheme="minorHAnsi"/>
          <w:color w:val="333333"/>
        </w:rPr>
        <w:t xml:space="preserve">  </w:t>
      </w:r>
    </w:p>
    <w:p w:rsidR="00D54241" w:rsidRDefault="00D54241" w:rsidP="009C34F2">
      <w:pPr>
        <w:shd w:val="clear" w:color="auto" w:fill="FFFFFF"/>
        <w:spacing w:after="0" w:line="360" w:lineRule="auto"/>
        <w:rPr>
          <w:rFonts w:eastAsia="Times New Roman" w:cstheme="minorHAnsi"/>
          <w:color w:val="333333"/>
        </w:rPr>
      </w:pPr>
    </w:p>
    <w:p w:rsidR="00D54241" w:rsidRDefault="009C34F2" w:rsidP="009C34F2">
      <w:pPr>
        <w:shd w:val="clear" w:color="auto" w:fill="FFFFFF"/>
        <w:spacing w:after="0" w:line="360" w:lineRule="auto"/>
        <w:rPr>
          <w:rFonts w:eastAsia="Times New Roman" w:cstheme="minorHAnsi"/>
          <w:color w:val="333333"/>
        </w:rPr>
      </w:pPr>
      <w:r w:rsidRPr="00D54241">
        <w:rPr>
          <w:rFonts w:eastAsia="Times New Roman" w:cstheme="minorHAnsi"/>
          <w:i/>
          <w:color w:val="333333"/>
        </w:rPr>
        <w:t>S</w:t>
      </w:r>
      <w:r w:rsidR="00E843E1" w:rsidRPr="00D54241">
        <w:rPr>
          <w:rFonts w:eastAsia="Times New Roman" w:cstheme="minorHAnsi"/>
          <w:i/>
          <w:color w:val="333333"/>
        </w:rPr>
        <w:t xml:space="preserve">ome </w:t>
      </w:r>
      <w:r w:rsidR="00DC7D3C" w:rsidRPr="00D54241">
        <w:rPr>
          <w:rFonts w:eastAsia="Times New Roman" w:cstheme="minorHAnsi"/>
          <w:i/>
          <w:color w:val="333333"/>
        </w:rPr>
        <w:t>aspects of the</w:t>
      </w:r>
      <w:r w:rsidRPr="00D54241">
        <w:rPr>
          <w:rFonts w:eastAsia="Times New Roman" w:cstheme="minorHAnsi"/>
          <w:i/>
          <w:color w:val="333333"/>
        </w:rPr>
        <w:t xml:space="preserve"> (833 page)</w:t>
      </w:r>
      <w:r w:rsidR="00DC7D3C" w:rsidRPr="00D54241">
        <w:rPr>
          <w:rFonts w:eastAsia="Times New Roman" w:cstheme="minorHAnsi"/>
          <w:i/>
          <w:color w:val="333333"/>
        </w:rPr>
        <w:t xml:space="preserve"> legislation remain in flux,</w:t>
      </w:r>
      <w:r w:rsidR="00AF3D4A" w:rsidRPr="00D54241">
        <w:rPr>
          <w:rFonts w:eastAsia="Times New Roman" w:cstheme="minorHAnsi"/>
          <w:i/>
          <w:color w:val="333333"/>
        </w:rPr>
        <w:t xml:space="preserve"> and are</w:t>
      </w:r>
      <w:r w:rsidRPr="00D54241">
        <w:rPr>
          <w:rFonts w:eastAsia="Times New Roman" w:cstheme="minorHAnsi"/>
          <w:i/>
          <w:color w:val="333333"/>
        </w:rPr>
        <w:t xml:space="preserve"> subject to change; and the Executive Branch agencies will have to rapidly craft and issue </w:t>
      </w:r>
      <w:r w:rsidR="00D54241" w:rsidRPr="00D54241">
        <w:rPr>
          <w:rFonts w:eastAsia="Times New Roman" w:cstheme="minorHAnsi"/>
          <w:i/>
          <w:color w:val="333333"/>
        </w:rPr>
        <w:t>implementing regulations and application forms.</w:t>
      </w:r>
      <w:r w:rsidR="00D54241">
        <w:rPr>
          <w:rFonts w:eastAsia="Times New Roman" w:cstheme="minorHAnsi"/>
          <w:i/>
          <w:color w:val="333333"/>
        </w:rPr>
        <w:t xml:space="preserve">  So, there will be more questions to be answered.</w:t>
      </w:r>
      <w:r w:rsidR="00D54241" w:rsidRPr="00D54241">
        <w:rPr>
          <w:rFonts w:eastAsia="Times New Roman" w:cstheme="minorHAnsi"/>
          <w:i/>
          <w:color w:val="333333"/>
        </w:rPr>
        <w:t xml:space="preserve">  However, </w:t>
      </w:r>
      <w:r w:rsidR="00DC7D3C" w:rsidRPr="00D54241">
        <w:rPr>
          <w:rFonts w:eastAsia="Times New Roman" w:cstheme="minorHAnsi"/>
          <w:i/>
          <w:color w:val="333333"/>
        </w:rPr>
        <w:t xml:space="preserve">we want to share with you </w:t>
      </w:r>
      <w:r w:rsidR="00D54241" w:rsidRPr="00D54241">
        <w:rPr>
          <w:rFonts w:eastAsia="Times New Roman" w:cstheme="minorHAnsi"/>
          <w:i/>
          <w:color w:val="333333"/>
        </w:rPr>
        <w:t xml:space="preserve">this preview </w:t>
      </w:r>
      <w:r w:rsidR="00DC7D3C" w:rsidRPr="00D54241">
        <w:rPr>
          <w:rFonts w:eastAsia="Times New Roman" w:cstheme="minorHAnsi"/>
          <w:i/>
          <w:color w:val="333333"/>
        </w:rPr>
        <w:t>of potential resources below</w:t>
      </w:r>
      <w:r w:rsidR="00D54241" w:rsidRPr="00D54241">
        <w:rPr>
          <w:rFonts w:eastAsia="Times New Roman" w:cstheme="minorHAnsi"/>
          <w:i/>
          <w:color w:val="333333"/>
        </w:rPr>
        <w:t xml:space="preserve"> so you can start thinking about your options and plans</w:t>
      </w:r>
      <w:r w:rsidR="00DC7D3C" w:rsidRPr="00D54241">
        <w:rPr>
          <w:rFonts w:eastAsia="Times New Roman" w:cstheme="minorHAnsi"/>
          <w:i/>
          <w:color w:val="333333"/>
        </w:rPr>
        <w:t>.</w:t>
      </w:r>
      <w:r w:rsidR="00DC7D3C">
        <w:rPr>
          <w:rFonts w:eastAsia="Times New Roman" w:cstheme="minorHAnsi"/>
          <w:color w:val="333333"/>
        </w:rPr>
        <w:t xml:space="preserve">  </w:t>
      </w:r>
    </w:p>
    <w:p w:rsidR="009C34F2" w:rsidRDefault="00A5535F" w:rsidP="009C34F2">
      <w:pPr>
        <w:shd w:val="clear" w:color="auto" w:fill="FFFFFF"/>
        <w:spacing w:after="0" w:line="360" w:lineRule="auto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 xml:space="preserve">(We will </w:t>
      </w:r>
      <w:r w:rsidR="00DC7D3C">
        <w:rPr>
          <w:rFonts w:eastAsia="Times New Roman" w:cstheme="minorHAnsi"/>
          <w:color w:val="333333"/>
        </w:rPr>
        <w:t xml:space="preserve">also </w:t>
      </w:r>
      <w:r>
        <w:rPr>
          <w:rFonts w:eastAsia="Times New Roman" w:cstheme="minorHAnsi"/>
          <w:color w:val="333333"/>
        </w:rPr>
        <w:t>send further updates and offer assistance through Orthodox Union Advocacy and Teach Network staff as the relevant Federal program agencies issue guidance and application opportunities.)</w:t>
      </w:r>
    </w:p>
    <w:p w:rsidR="00243284" w:rsidRPr="00FE09FA" w:rsidRDefault="00243284" w:rsidP="00006D0A">
      <w:pPr>
        <w:shd w:val="clear" w:color="auto" w:fill="FFFFFF"/>
        <w:spacing w:after="0" w:line="360" w:lineRule="auto"/>
        <w:rPr>
          <w:rFonts w:eastAsia="Times New Roman" w:cstheme="minorHAnsi"/>
          <w:color w:val="333333"/>
        </w:rPr>
      </w:pPr>
      <w:r w:rsidRPr="00FE09FA">
        <w:rPr>
          <w:rFonts w:eastAsia="Times New Roman" w:cstheme="minorHAnsi"/>
          <w:color w:val="333333"/>
        </w:rPr>
        <w:t xml:space="preserve">  </w:t>
      </w:r>
    </w:p>
    <w:p w:rsidR="00243284" w:rsidRDefault="00A5535F" w:rsidP="00006D0A">
      <w:pPr>
        <w:shd w:val="clear" w:color="auto" w:fill="FFFFFF"/>
        <w:spacing w:after="0" w:line="360" w:lineRule="auto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>Consistent with our advocacy efforts,</w:t>
      </w:r>
      <w:r w:rsidR="00E843E1">
        <w:rPr>
          <w:rFonts w:eastAsia="Times New Roman" w:cstheme="minorHAnsi"/>
          <w:color w:val="333333"/>
        </w:rPr>
        <w:t xml:space="preserve"> and</w:t>
      </w:r>
      <w:r>
        <w:rPr>
          <w:rFonts w:eastAsia="Times New Roman" w:cstheme="minorHAnsi"/>
          <w:color w:val="333333"/>
        </w:rPr>
        <w:t xml:space="preserve"> in partnership with a broad set of coalition partners, </w:t>
      </w:r>
      <w:r w:rsidR="00243284" w:rsidRPr="00FE09FA">
        <w:rPr>
          <w:rFonts w:eastAsia="Times New Roman" w:cstheme="minorHAnsi"/>
          <w:color w:val="333333"/>
        </w:rPr>
        <w:t xml:space="preserve">the bill provides “emergency” appropriations </w:t>
      </w:r>
      <w:r w:rsidR="00243284">
        <w:rPr>
          <w:rFonts w:eastAsia="Times New Roman" w:cstheme="minorHAnsi"/>
          <w:color w:val="333333"/>
        </w:rPr>
        <w:t xml:space="preserve">that will benefit nonprofit organizations in the following ways: small business interruption loans, unemployment insurance expansion, employee retention tax credits, payroll tax </w:t>
      </w:r>
      <w:r>
        <w:rPr>
          <w:rFonts w:eastAsia="Times New Roman" w:cstheme="minorHAnsi"/>
          <w:color w:val="333333"/>
        </w:rPr>
        <w:t xml:space="preserve">payment </w:t>
      </w:r>
      <w:r w:rsidR="00243284">
        <w:rPr>
          <w:rFonts w:eastAsia="Times New Roman" w:cstheme="minorHAnsi"/>
          <w:color w:val="333333"/>
        </w:rPr>
        <w:t xml:space="preserve">deferrals, charitable deduction adjustments, aid for nonpublic schools, and FEMA disaster loans.   </w:t>
      </w:r>
      <w:r w:rsidR="00243284" w:rsidRPr="00FE09FA">
        <w:rPr>
          <w:rFonts w:eastAsia="Times New Roman" w:cstheme="minorHAnsi"/>
          <w:color w:val="333333"/>
        </w:rPr>
        <w:t xml:space="preserve">  </w:t>
      </w:r>
    </w:p>
    <w:p w:rsidR="00AB00B0" w:rsidRDefault="00AB00B0" w:rsidP="00006D0A">
      <w:pPr>
        <w:shd w:val="clear" w:color="auto" w:fill="FFFFFF"/>
        <w:spacing w:after="0" w:line="360" w:lineRule="auto"/>
        <w:rPr>
          <w:rFonts w:eastAsia="Times New Roman" w:cstheme="minorHAnsi"/>
          <w:color w:val="333333"/>
        </w:rPr>
      </w:pPr>
    </w:p>
    <w:p w:rsidR="00D54241" w:rsidRDefault="00D54241" w:rsidP="00006D0A">
      <w:pPr>
        <w:shd w:val="clear" w:color="auto" w:fill="FFFFFF"/>
        <w:spacing w:after="0" w:line="360" w:lineRule="auto"/>
        <w:rPr>
          <w:rFonts w:eastAsia="Times New Roman" w:cstheme="minorHAnsi"/>
          <w:color w:val="333333"/>
        </w:rPr>
      </w:pPr>
    </w:p>
    <w:p w:rsidR="00D54241" w:rsidRDefault="00D54241" w:rsidP="00006D0A">
      <w:pPr>
        <w:shd w:val="clear" w:color="auto" w:fill="FFFFFF"/>
        <w:spacing w:after="0" w:line="360" w:lineRule="auto"/>
        <w:rPr>
          <w:rFonts w:eastAsia="Times New Roman" w:cstheme="minorHAnsi"/>
          <w:color w:val="333333"/>
        </w:rPr>
      </w:pPr>
    </w:p>
    <w:p w:rsidR="00D54241" w:rsidRDefault="00D54241" w:rsidP="00006D0A">
      <w:pPr>
        <w:shd w:val="clear" w:color="auto" w:fill="FFFFFF"/>
        <w:spacing w:after="0" w:line="360" w:lineRule="auto"/>
        <w:rPr>
          <w:rFonts w:eastAsia="Times New Roman" w:cstheme="minorHAnsi"/>
          <w:color w:val="333333"/>
        </w:rPr>
      </w:pPr>
    </w:p>
    <w:p w:rsidR="00D54241" w:rsidRDefault="00D54241" w:rsidP="00006D0A">
      <w:pPr>
        <w:shd w:val="clear" w:color="auto" w:fill="FFFFFF"/>
        <w:spacing w:after="0" w:line="360" w:lineRule="auto"/>
        <w:rPr>
          <w:rFonts w:eastAsia="Times New Roman" w:cstheme="minorHAnsi"/>
          <w:color w:val="333333"/>
        </w:rPr>
      </w:pPr>
    </w:p>
    <w:p w:rsidR="00D54241" w:rsidRPr="00434AA0" w:rsidRDefault="00D54241" w:rsidP="00006D0A">
      <w:pPr>
        <w:shd w:val="clear" w:color="auto" w:fill="FFFFFF"/>
        <w:spacing w:after="0" w:line="360" w:lineRule="auto"/>
        <w:rPr>
          <w:rFonts w:eastAsia="Times New Roman" w:cstheme="minorHAnsi"/>
          <w:color w:val="333333"/>
        </w:rPr>
      </w:pPr>
    </w:p>
    <w:p w:rsidR="00243284" w:rsidRPr="005F1EF5" w:rsidRDefault="00AB00B0" w:rsidP="00006D0A">
      <w:pPr>
        <w:shd w:val="clear" w:color="auto" w:fill="FFFFFF"/>
        <w:spacing w:after="0" w:line="360" w:lineRule="auto"/>
        <w:rPr>
          <w:rFonts w:eastAsia="Times New Roman" w:cstheme="minorHAnsi"/>
          <w:b/>
          <w:bCs/>
          <w:i/>
          <w:iCs/>
          <w:color w:val="333333"/>
        </w:rPr>
      </w:pPr>
      <w:r>
        <w:rPr>
          <w:rFonts w:eastAsia="Times New Roman" w:cstheme="minorHAnsi"/>
          <w:b/>
          <w:bCs/>
          <w:color w:val="333333"/>
          <w:u w:val="single"/>
        </w:rPr>
        <w:t>I</w:t>
      </w:r>
      <w:r>
        <w:rPr>
          <w:rFonts w:eastAsia="Times New Roman" w:cstheme="minorHAnsi"/>
          <w:b/>
          <w:bCs/>
          <w:color w:val="333333"/>
          <w:u w:val="single"/>
        </w:rPr>
        <w:tab/>
      </w:r>
      <w:r w:rsidR="00243284" w:rsidRPr="00434AA0">
        <w:rPr>
          <w:rFonts w:eastAsia="Times New Roman" w:cstheme="minorHAnsi"/>
          <w:b/>
          <w:bCs/>
          <w:color w:val="333333"/>
          <w:u w:val="single"/>
        </w:rPr>
        <w:t xml:space="preserve">Small Business </w:t>
      </w:r>
      <w:r w:rsidR="00243284">
        <w:rPr>
          <w:rFonts w:eastAsia="Times New Roman" w:cstheme="minorHAnsi"/>
          <w:b/>
          <w:bCs/>
          <w:color w:val="333333"/>
          <w:u w:val="single"/>
        </w:rPr>
        <w:t>Administration Loans:</w:t>
      </w:r>
      <w:r w:rsidR="00243284">
        <w:rPr>
          <w:rFonts w:eastAsia="Times New Roman" w:cstheme="minorHAnsi"/>
          <w:color w:val="333333"/>
        </w:rPr>
        <w:t xml:space="preserve">  Two loan programs will be available to nonprofits</w:t>
      </w:r>
      <w:r w:rsidR="00A5535F">
        <w:rPr>
          <w:rFonts w:eastAsia="Times New Roman" w:cstheme="minorHAnsi"/>
          <w:color w:val="333333"/>
        </w:rPr>
        <w:t xml:space="preserve"> through the SBA</w:t>
      </w:r>
      <w:r w:rsidR="00243284">
        <w:rPr>
          <w:rFonts w:eastAsia="Times New Roman" w:cstheme="minorHAnsi"/>
          <w:color w:val="333333"/>
        </w:rPr>
        <w:t xml:space="preserve">:  </w:t>
      </w:r>
      <w:r>
        <w:rPr>
          <w:rFonts w:eastAsia="Times New Roman" w:cstheme="minorHAnsi"/>
          <w:color w:val="333333"/>
        </w:rPr>
        <w:t>Section</w:t>
      </w:r>
      <w:r w:rsidR="00243284">
        <w:rPr>
          <w:rFonts w:eastAsia="Times New Roman" w:cstheme="minorHAnsi"/>
          <w:color w:val="333333"/>
        </w:rPr>
        <w:t xml:space="preserve"> 7(a) loan</w:t>
      </w:r>
      <w:r>
        <w:rPr>
          <w:rFonts w:eastAsia="Times New Roman" w:cstheme="minorHAnsi"/>
          <w:color w:val="333333"/>
        </w:rPr>
        <w:t>s</w:t>
      </w:r>
      <w:r w:rsidR="00243284">
        <w:rPr>
          <w:rFonts w:eastAsia="Times New Roman" w:cstheme="minorHAnsi"/>
          <w:color w:val="333333"/>
        </w:rPr>
        <w:t xml:space="preserve"> and “Economic Injury Disaster Loan</w:t>
      </w:r>
      <w:r>
        <w:rPr>
          <w:rFonts w:eastAsia="Times New Roman" w:cstheme="minorHAnsi"/>
          <w:color w:val="333333"/>
        </w:rPr>
        <w:t>s</w:t>
      </w:r>
      <w:r w:rsidR="00243284">
        <w:rPr>
          <w:rFonts w:eastAsia="Times New Roman" w:cstheme="minorHAnsi"/>
          <w:color w:val="333333"/>
        </w:rPr>
        <w:t xml:space="preserve">.”  </w:t>
      </w:r>
    </w:p>
    <w:p w:rsidR="00243284" w:rsidRPr="00DC7D3C" w:rsidRDefault="00F20F9C" w:rsidP="00006D0A">
      <w:pPr>
        <w:ind w:firstLine="720"/>
        <w:rPr>
          <w:b/>
          <w:bCs/>
          <w:u w:val="single"/>
        </w:rPr>
      </w:pPr>
      <w:r w:rsidRPr="00DC7D3C">
        <w:rPr>
          <w:rFonts w:eastAsia="Times New Roman" w:cstheme="minorHAnsi"/>
          <w:b/>
          <w:bCs/>
          <w:color w:val="333333"/>
        </w:rPr>
        <w:t>1)</w:t>
      </w:r>
      <w:r w:rsidRPr="00DC7D3C">
        <w:rPr>
          <w:rFonts w:eastAsia="Times New Roman" w:cstheme="minorHAnsi"/>
          <w:b/>
          <w:bCs/>
          <w:color w:val="333333"/>
        </w:rPr>
        <w:tab/>
      </w:r>
      <w:r w:rsidR="00243284" w:rsidRPr="00DC7D3C">
        <w:rPr>
          <w:b/>
          <w:bCs/>
          <w:u w:val="single"/>
        </w:rPr>
        <w:t>SBA 7(a) Loan</w:t>
      </w:r>
      <w:r w:rsidR="00AB00B0" w:rsidRPr="00DC7D3C">
        <w:rPr>
          <w:b/>
          <w:bCs/>
          <w:u w:val="single"/>
        </w:rPr>
        <w:t>s</w:t>
      </w:r>
    </w:p>
    <w:p w:rsidR="00B67253" w:rsidRPr="00DC7D3C" w:rsidRDefault="00243284" w:rsidP="00006D0A">
      <w:pPr>
        <w:shd w:val="clear" w:color="auto" w:fill="FFFFFF"/>
        <w:spacing w:after="0" w:line="360" w:lineRule="auto"/>
        <w:ind w:firstLine="360"/>
        <w:rPr>
          <w:rFonts w:eastAsia="Times New Roman" w:cstheme="minorHAnsi"/>
          <w:b/>
          <w:bCs/>
          <w:color w:val="333333"/>
        </w:rPr>
      </w:pPr>
      <w:r w:rsidRPr="00DC7D3C">
        <w:rPr>
          <w:rFonts w:eastAsia="Times New Roman" w:cstheme="minorHAnsi"/>
          <w:b/>
          <w:bCs/>
          <w:color w:val="333333"/>
        </w:rPr>
        <w:t xml:space="preserve">Basic Info:  </w:t>
      </w:r>
    </w:p>
    <w:p w:rsidR="00B67253" w:rsidRPr="00006D0A" w:rsidRDefault="00243284" w:rsidP="00DC7D3C">
      <w:pPr>
        <w:shd w:val="clear" w:color="auto" w:fill="FFFFFF"/>
        <w:spacing w:after="0" w:line="360" w:lineRule="auto"/>
        <w:ind w:firstLine="360"/>
        <w:rPr>
          <w:rFonts w:eastAsia="Times New Roman" w:cstheme="minorHAnsi"/>
          <w:b/>
          <w:bCs/>
          <w:color w:val="333333"/>
        </w:rPr>
      </w:pPr>
      <w:r w:rsidRPr="00DC7D3C">
        <w:rPr>
          <w:rFonts w:eastAsia="Times New Roman" w:cstheme="minorHAnsi"/>
          <w:color w:val="333333"/>
        </w:rPr>
        <w:t xml:space="preserve">Allows </w:t>
      </w:r>
      <w:r w:rsidRPr="00DC7D3C">
        <w:rPr>
          <w:rFonts w:eastAsia="Times New Roman" w:cstheme="minorHAnsi"/>
          <w:b/>
          <w:bCs/>
          <w:color w:val="333333"/>
        </w:rPr>
        <w:t>nonprofit organizations</w:t>
      </w:r>
      <w:r w:rsidRPr="00DC7D3C">
        <w:rPr>
          <w:rFonts w:eastAsia="Times New Roman" w:cstheme="minorHAnsi"/>
          <w:color w:val="333333"/>
        </w:rPr>
        <w:t xml:space="preserve"> to be eligible for loans.</w:t>
      </w:r>
    </w:p>
    <w:p w:rsidR="00AB00B0" w:rsidRPr="00DC7D3C" w:rsidRDefault="00AB00B0" w:rsidP="00006D0A">
      <w:pPr>
        <w:shd w:val="clear" w:color="auto" w:fill="FFFFFF"/>
        <w:spacing w:after="0" w:line="360" w:lineRule="auto"/>
        <w:ind w:left="1440"/>
        <w:rPr>
          <w:rFonts w:eastAsia="Times New Roman" w:cstheme="minorHAnsi"/>
          <w:b/>
          <w:bCs/>
          <w:color w:val="333333"/>
        </w:rPr>
      </w:pPr>
      <w:r w:rsidRPr="00DC7D3C">
        <w:rPr>
          <w:rFonts w:eastAsia="Times New Roman" w:cstheme="minorHAnsi"/>
          <w:b/>
          <w:bCs/>
          <w:color w:val="333333"/>
        </w:rPr>
        <w:t xml:space="preserve">Paycheck Protection Program:  </w:t>
      </w:r>
      <w:r w:rsidRPr="00DC7D3C">
        <w:rPr>
          <w:rFonts w:eastAsia="Times New Roman" w:cstheme="minorHAnsi"/>
          <w:color w:val="333333"/>
        </w:rPr>
        <w:t xml:space="preserve">If the nonprofit or small business uses this loan to pay wages, the loan will be FORGIVEN.  </w:t>
      </w:r>
    </w:p>
    <w:p w:rsidR="00243284" w:rsidRPr="00006D0A" w:rsidRDefault="00243284" w:rsidP="00006D0A">
      <w:pPr>
        <w:shd w:val="clear" w:color="auto" w:fill="FFFFFF"/>
        <w:spacing w:after="0" w:line="360" w:lineRule="auto"/>
        <w:ind w:firstLine="720"/>
        <w:rPr>
          <w:rFonts w:eastAsia="Times New Roman" w:cstheme="minorHAnsi"/>
          <w:b/>
          <w:bCs/>
          <w:color w:val="333333"/>
        </w:rPr>
      </w:pPr>
      <w:r w:rsidRPr="00DC7D3C">
        <w:rPr>
          <w:rFonts w:eastAsia="Times New Roman" w:cstheme="minorHAnsi"/>
          <w:color w:val="333333"/>
        </w:rPr>
        <w:t xml:space="preserve">Loan period is </w:t>
      </w:r>
      <w:r w:rsidR="00AB00B0" w:rsidRPr="00DC7D3C">
        <w:rPr>
          <w:rFonts w:eastAsia="Times New Roman" w:cstheme="minorHAnsi"/>
          <w:color w:val="333333"/>
        </w:rPr>
        <w:t>February 15 – June 30, 2020</w:t>
      </w:r>
    </w:p>
    <w:p w:rsidR="00F20F9C" w:rsidRDefault="00F20F9C" w:rsidP="00006D0A">
      <w:pPr>
        <w:shd w:val="clear" w:color="auto" w:fill="FFFFFF"/>
        <w:spacing w:after="0" w:line="360" w:lineRule="auto"/>
        <w:ind w:firstLine="720"/>
        <w:rPr>
          <w:rFonts w:eastAsia="Times New Roman" w:cstheme="minorHAnsi"/>
          <w:color w:val="333333"/>
        </w:rPr>
      </w:pPr>
      <w:r w:rsidRPr="00DC7D3C">
        <w:rPr>
          <w:rFonts w:eastAsia="Times New Roman" w:cstheme="minorHAnsi"/>
          <w:color w:val="333333"/>
        </w:rPr>
        <w:t>Loans immediately available through approximately 800 existing SBA approved lenders</w:t>
      </w:r>
    </w:p>
    <w:p w:rsidR="00AF3D4A" w:rsidRDefault="00DC7D3C" w:rsidP="00AF3D4A">
      <w:pPr>
        <w:rPr>
          <w:b/>
          <w:bCs/>
        </w:rPr>
      </w:pPr>
      <w:r>
        <w:rPr>
          <w:rFonts w:eastAsia="Times New Roman" w:cstheme="minorHAnsi"/>
          <w:color w:val="333333"/>
        </w:rPr>
        <w:tab/>
      </w:r>
      <w:r w:rsidR="00243284" w:rsidRPr="00FE09FA">
        <w:t xml:space="preserve">Increases maximum </w:t>
      </w:r>
      <w:r w:rsidR="00243284">
        <w:t>(SBA)</w:t>
      </w:r>
      <w:r w:rsidR="00243284" w:rsidRPr="00FE09FA">
        <w:t xml:space="preserve"> </w:t>
      </w:r>
      <w:r w:rsidR="00AB00B0">
        <w:t xml:space="preserve">7(a) </w:t>
      </w:r>
      <w:r w:rsidR="00243284" w:rsidRPr="00FE09FA">
        <w:t>loan amount to $10 million</w:t>
      </w:r>
      <w:r w:rsidR="00F20F9C">
        <w:t xml:space="preserve"> or 250% of the employer’s average monthly payroll</w:t>
      </w:r>
      <w:r w:rsidR="00243284" w:rsidRPr="00FE09FA">
        <w:t xml:space="preserve"> </w:t>
      </w:r>
    </w:p>
    <w:p w:rsidR="00243284" w:rsidRPr="00AF3D4A" w:rsidRDefault="00243284" w:rsidP="00AF3D4A">
      <w:pPr>
        <w:ind w:firstLine="720"/>
        <w:rPr>
          <w:b/>
          <w:bCs/>
        </w:rPr>
      </w:pPr>
      <w:r w:rsidRPr="00DC7D3C">
        <w:rPr>
          <w:rFonts w:eastAsia="Times New Roman" w:cstheme="minorHAnsi"/>
          <w:color w:val="333333"/>
        </w:rPr>
        <w:t xml:space="preserve">Expands allowable uses of loans to include payroll support, such as paid sick or medical leave, employee salaries, mortgage payments, and any other debt obligations.  </w:t>
      </w:r>
    </w:p>
    <w:p w:rsidR="00F20F9C" w:rsidRPr="00DC7D3C" w:rsidRDefault="00F20F9C" w:rsidP="00006D0A">
      <w:pPr>
        <w:shd w:val="clear" w:color="auto" w:fill="FFFFFF"/>
        <w:spacing w:after="0" w:line="360" w:lineRule="auto"/>
        <w:ind w:firstLine="720"/>
        <w:rPr>
          <w:rFonts w:eastAsia="Times New Roman" w:cstheme="minorHAnsi"/>
          <w:b/>
          <w:bCs/>
          <w:color w:val="333333"/>
        </w:rPr>
      </w:pPr>
      <w:r w:rsidRPr="00DC7D3C">
        <w:rPr>
          <w:rFonts w:eastAsia="Times New Roman" w:cstheme="minorHAnsi"/>
          <w:color w:val="333333"/>
        </w:rPr>
        <w:t>Allows complete deferment of loan payments for 6 to 12 months</w:t>
      </w:r>
      <w:r w:rsidR="00E56127">
        <w:rPr>
          <w:rFonts w:eastAsia="Times New Roman" w:cstheme="minorHAnsi"/>
          <w:color w:val="333333"/>
        </w:rPr>
        <w:t>.</w:t>
      </w:r>
    </w:p>
    <w:p w:rsidR="00243284" w:rsidRPr="00DC7D3C" w:rsidRDefault="00243284" w:rsidP="00006D0A">
      <w:pPr>
        <w:shd w:val="clear" w:color="auto" w:fill="FFFFFF"/>
        <w:spacing w:after="0" w:line="360" w:lineRule="auto"/>
        <w:ind w:firstLine="720"/>
        <w:rPr>
          <w:rFonts w:eastAsia="Times New Roman" w:cstheme="minorHAnsi"/>
          <w:b/>
          <w:bCs/>
          <w:color w:val="333333"/>
        </w:rPr>
      </w:pPr>
      <w:r w:rsidRPr="00DC7D3C">
        <w:rPr>
          <w:rFonts w:eastAsia="Times New Roman" w:cstheme="minorHAnsi"/>
          <w:color w:val="333333"/>
        </w:rPr>
        <w:t>For eligibility purposes, requires lenders to determine whether a business was operation</w:t>
      </w:r>
      <w:r w:rsidR="00FE34CF">
        <w:rPr>
          <w:rFonts w:eastAsia="Times New Roman" w:cstheme="minorHAnsi"/>
          <w:color w:val="333333"/>
        </w:rPr>
        <w:t>al</w:t>
      </w:r>
      <w:r w:rsidRPr="00DC7D3C">
        <w:rPr>
          <w:rFonts w:eastAsia="Times New Roman" w:cstheme="minorHAnsi"/>
          <w:color w:val="333333"/>
        </w:rPr>
        <w:t xml:space="preserve"> on March 1, 2020, and had employees for whom it paid salaries and payroll taxes.  </w:t>
      </w:r>
    </w:p>
    <w:p w:rsidR="00243284" w:rsidRPr="00DC7D3C" w:rsidRDefault="00243284" w:rsidP="00006D0A">
      <w:pPr>
        <w:shd w:val="clear" w:color="auto" w:fill="FFFFFF"/>
        <w:spacing w:after="0" w:line="360" w:lineRule="auto"/>
        <w:ind w:firstLine="720"/>
        <w:rPr>
          <w:rFonts w:eastAsia="Times New Roman" w:cstheme="minorHAnsi"/>
          <w:b/>
          <w:bCs/>
          <w:i/>
          <w:iCs/>
          <w:color w:val="333333"/>
        </w:rPr>
      </w:pPr>
      <w:r w:rsidRPr="00DC7D3C">
        <w:rPr>
          <w:rFonts w:eastAsia="Times New Roman" w:cstheme="minorHAnsi"/>
          <w:b/>
          <w:bCs/>
          <w:i/>
          <w:iCs/>
          <w:color w:val="333333"/>
        </w:rPr>
        <w:t>To Qualify:</w:t>
      </w:r>
    </w:p>
    <w:p w:rsidR="00243284" w:rsidRPr="00DC7D3C" w:rsidRDefault="00243284" w:rsidP="00006D0A">
      <w:pPr>
        <w:shd w:val="clear" w:color="auto" w:fill="FFFFFF"/>
        <w:spacing w:after="0" w:line="360" w:lineRule="auto"/>
        <w:rPr>
          <w:rFonts w:eastAsia="Times New Roman" w:cstheme="minorHAnsi"/>
          <w:b/>
          <w:bCs/>
          <w:color w:val="333333"/>
        </w:rPr>
      </w:pPr>
      <w:r w:rsidRPr="00DC7D3C">
        <w:rPr>
          <w:rFonts w:eastAsia="Times New Roman" w:cstheme="minorHAnsi"/>
          <w:color w:val="333333"/>
        </w:rPr>
        <w:t>For nonprofit organizations:  have 501c3 status</w:t>
      </w:r>
      <w:r w:rsidR="00AB00B0" w:rsidRPr="00DC7D3C">
        <w:rPr>
          <w:rFonts w:eastAsia="Times New Roman" w:cstheme="minorHAnsi"/>
          <w:color w:val="333333"/>
        </w:rPr>
        <w:t>; have 500 or fewer employees (OR for nonprofits with more than one physical location so long as less than 500 at any single location)</w:t>
      </w:r>
    </w:p>
    <w:p w:rsidR="00F20F9C" w:rsidRPr="00AF3D4A" w:rsidRDefault="00DC7D3C" w:rsidP="00AF3D4A">
      <w:pPr>
        <w:shd w:val="clear" w:color="auto" w:fill="FFFFFF"/>
        <w:spacing w:after="0" w:line="360" w:lineRule="auto"/>
        <w:ind w:firstLine="720"/>
        <w:rPr>
          <w:rFonts w:eastAsia="Times New Roman" w:cstheme="minorHAnsi"/>
          <w:b/>
          <w:bCs/>
          <w:color w:val="333333"/>
        </w:rPr>
      </w:pPr>
      <w:r>
        <w:rPr>
          <w:rFonts w:eastAsia="Times New Roman" w:cstheme="minorHAnsi"/>
          <w:b/>
          <w:bCs/>
          <w:i/>
          <w:iCs/>
          <w:color w:val="333333"/>
        </w:rPr>
        <w:t xml:space="preserve">Information and applications will be posted on </w:t>
      </w:r>
      <w:r w:rsidR="00243284">
        <w:t>www.disasterloan.sba.gov (guidance has not yet been delivered by the federal government, b</w:t>
      </w:r>
      <w:r w:rsidR="00AF3D4A">
        <w:t xml:space="preserve">ut will be available shortly).  </w:t>
      </w:r>
      <w:proofErr w:type="spellStart"/>
      <w:r w:rsidR="00AF3D4A">
        <w:rPr>
          <w:rFonts w:eastAsia="Times New Roman" w:cstheme="minorHAnsi"/>
          <w:color w:val="333333"/>
        </w:rPr>
        <w:t>Sec’y</w:t>
      </w:r>
      <w:proofErr w:type="spellEnd"/>
      <w:r w:rsidR="00AF3D4A">
        <w:rPr>
          <w:rFonts w:eastAsia="Times New Roman" w:cstheme="minorHAnsi"/>
          <w:color w:val="333333"/>
        </w:rPr>
        <w:t xml:space="preserve"> of the Treasury has committed to having an “easy, same day application and disbursement process in place by the end of next week</w:t>
      </w:r>
      <w:r w:rsidR="00E56127">
        <w:rPr>
          <w:rFonts w:eastAsia="Times New Roman" w:cstheme="minorHAnsi"/>
          <w:color w:val="333333"/>
        </w:rPr>
        <w:t>.</w:t>
      </w:r>
    </w:p>
    <w:p w:rsidR="001B4F08" w:rsidRPr="00006D0A" w:rsidRDefault="00F20F9C" w:rsidP="00006D0A">
      <w:pPr>
        <w:shd w:val="clear" w:color="auto" w:fill="FFFFFF"/>
        <w:spacing w:after="0" w:line="360" w:lineRule="auto"/>
        <w:ind w:firstLine="720"/>
        <w:rPr>
          <w:rFonts w:eastAsia="Times New Roman" w:cstheme="minorHAnsi"/>
          <w:b/>
          <w:bCs/>
          <w:color w:val="333333"/>
        </w:rPr>
      </w:pPr>
      <w:r w:rsidRPr="00DC7D3C">
        <w:rPr>
          <w:rFonts w:eastAsia="Times New Roman" w:cstheme="minorHAnsi"/>
          <w:b/>
          <w:bCs/>
          <w:color w:val="333333"/>
        </w:rPr>
        <w:t>2)</w:t>
      </w:r>
      <w:r w:rsidRPr="00DC7D3C">
        <w:rPr>
          <w:rFonts w:eastAsia="Times New Roman" w:cstheme="minorHAnsi"/>
          <w:b/>
          <w:bCs/>
          <w:color w:val="333333"/>
        </w:rPr>
        <w:tab/>
      </w:r>
      <w:r w:rsidR="001B4F08" w:rsidRPr="00DC7D3C">
        <w:rPr>
          <w:rFonts w:eastAsia="Times New Roman" w:cstheme="minorHAnsi"/>
          <w:b/>
          <w:bCs/>
          <w:color w:val="333333"/>
          <w:u w:val="single"/>
        </w:rPr>
        <w:t>Economic Injury Disaster Loan</w:t>
      </w:r>
    </w:p>
    <w:p w:rsidR="001B4F08" w:rsidRPr="00006D0A" w:rsidRDefault="001B4F08" w:rsidP="00DC7D3C">
      <w:pPr>
        <w:shd w:val="clear" w:color="auto" w:fill="FFFFFF"/>
        <w:spacing w:after="0" w:line="360" w:lineRule="auto"/>
        <w:rPr>
          <w:rFonts w:eastAsia="Times New Roman" w:cstheme="minorHAnsi"/>
          <w:b/>
          <w:bCs/>
          <w:color w:val="333333"/>
        </w:rPr>
      </w:pPr>
      <w:r w:rsidRPr="00DC7D3C">
        <w:rPr>
          <w:rFonts w:eastAsia="Times New Roman" w:cstheme="minorHAnsi"/>
          <w:color w:val="333333"/>
        </w:rPr>
        <w:t xml:space="preserve">Requires borrowers to make a good faith certification that the loan is necessary due to uncertainty of current economic conditions cause by Covid19, will use the funds </w:t>
      </w:r>
      <w:r w:rsidR="00F20F9C" w:rsidRPr="00DC7D3C">
        <w:rPr>
          <w:rFonts w:eastAsia="Times New Roman" w:cstheme="minorHAnsi"/>
          <w:color w:val="333333"/>
        </w:rPr>
        <w:t>for similar purposes as 7(a) loans</w:t>
      </w:r>
      <w:r w:rsidR="00E56127">
        <w:rPr>
          <w:rFonts w:eastAsia="Times New Roman" w:cstheme="minorHAnsi"/>
          <w:color w:val="333333"/>
        </w:rPr>
        <w:t>.</w:t>
      </w:r>
    </w:p>
    <w:p w:rsidR="00F20F9C" w:rsidRDefault="00F20F9C" w:rsidP="00DC7D3C">
      <w:pPr>
        <w:shd w:val="clear" w:color="auto" w:fill="FFFFFF"/>
        <w:spacing w:after="0" w:line="360" w:lineRule="auto"/>
        <w:rPr>
          <w:rFonts w:eastAsia="Times New Roman" w:cstheme="minorHAnsi"/>
          <w:color w:val="333333"/>
        </w:rPr>
      </w:pPr>
      <w:r w:rsidRPr="00DC7D3C">
        <w:rPr>
          <w:rFonts w:eastAsia="Times New Roman" w:cstheme="minorHAnsi"/>
          <w:color w:val="333333"/>
        </w:rPr>
        <w:t>One entity cannot receive a 7(a) loan and an EIDL loan for the same purpose</w:t>
      </w:r>
      <w:r w:rsidR="00E56127">
        <w:rPr>
          <w:rFonts w:eastAsia="Times New Roman" w:cstheme="minorHAnsi"/>
          <w:color w:val="333333"/>
        </w:rPr>
        <w:t>.</w:t>
      </w:r>
    </w:p>
    <w:p w:rsidR="00E56127" w:rsidRPr="00006D0A" w:rsidRDefault="00E56127" w:rsidP="00DC7D3C">
      <w:pPr>
        <w:shd w:val="clear" w:color="auto" w:fill="FFFFFF"/>
        <w:spacing w:after="0" w:line="360" w:lineRule="auto"/>
        <w:rPr>
          <w:rFonts w:eastAsia="Times New Roman" w:cstheme="minorHAnsi"/>
          <w:b/>
          <w:bCs/>
          <w:color w:val="333333"/>
        </w:rPr>
      </w:pPr>
      <w:r>
        <w:rPr>
          <w:rFonts w:eastAsia="Times New Roman" w:cstheme="minorHAnsi"/>
          <w:color w:val="333333"/>
        </w:rPr>
        <w:t>The entity must have fewer than 500 employees.</w:t>
      </w:r>
    </w:p>
    <w:p w:rsidR="00F20F9C" w:rsidRPr="00006D0A" w:rsidRDefault="00F20F9C" w:rsidP="00DC7D3C">
      <w:pPr>
        <w:shd w:val="clear" w:color="auto" w:fill="FFFFFF"/>
        <w:spacing w:after="0" w:line="360" w:lineRule="auto"/>
        <w:rPr>
          <w:rFonts w:eastAsia="Times New Roman" w:cstheme="minorHAnsi"/>
          <w:b/>
          <w:bCs/>
          <w:color w:val="333333"/>
        </w:rPr>
      </w:pPr>
      <w:r w:rsidRPr="00DC7D3C">
        <w:rPr>
          <w:rFonts w:eastAsia="Times New Roman" w:cstheme="minorHAnsi"/>
          <w:color w:val="333333"/>
        </w:rPr>
        <w:t>EIDL offers an emergency $10,000 “express” loan, to be subtracted from the loan forgiveness amount</w:t>
      </w:r>
    </w:p>
    <w:p w:rsidR="00F20F9C" w:rsidRPr="00DC7D3C" w:rsidRDefault="00F20F9C" w:rsidP="00DC7D3C">
      <w:pPr>
        <w:shd w:val="clear" w:color="auto" w:fill="FFFFFF"/>
        <w:spacing w:after="0" w:line="360" w:lineRule="auto"/>
        <w:rPr>
          <w:rFonts w:eastAsia="Times New Roman" w:cstheme="minorHAnsi"/>
          <w:b/>
          <w:bCs/>
          <w:color w:val="333333"/>
        </w:rPr>
      </w:pPr>
      <w:proofErr w:type="gramStart"/>
      <w:r w:rsidRPr="00DC7D3C">
        <w:rPr>
          <w:rFonts w:eastAsia="Times New Roman" w:cstheme="minorHAnsi"/>
          <w:color w:val="333333"/>
        </w:rPr>
        <w:t>Maximum interest rate 4%</w:t>
      </w:r>
      <w:r w:rsidR="00E56127">
        <w:rPr>
          <w:rFonts w:eastAsia="Times New Roman" w:cstheme="minorHAnsi"/>
          <w:color w:val="333333"/>
        </w:rPr>
        <w:t>.</w:t>
      </w:r>
      <w:proofErr w:type="gramEnd"/>
    </w:p>
    <w:p w:rsidR="001B4F08" w:rsidRDefault="001B4F08" w:rsidP="00006D0A">
      <w:pPr>
        <w:shd w:val="clear" w:color="auto" w:fill="FFFFFF"/>
        <w:spacing w:after="0" w:line="360" w:lineRule="auto"/>
        <w:rPr>
          <w:rFonts w:eastAsia="Times New Roman" w:cstheme="minorHAnsi"/>
          <w:b/>
          <w:bCs/>
          <w:color w:val="333333"/>
        </w:rPr>
      </w:pPr>
    </w:p>
    <w:p w:rsidR="00D54241" w:rsidRDefault="00D54241" w:rsidP="00006D0A">
      <w:pPr>
        <w:shd w:val="clear" w:color="auto" w:fill="FFFFFF"/>
        <w:spacing w:after="0" w:line="360" w:lineRule="auto"/>
        <w:rPr>
          <w:rFonts w:eastAsia="Times New Roman" w:cstheme="minorHAnsi"/>
          <w:b/>
          <w:bCs/>
          <w:color w:val="333333"/>
        </w:rPr>
      </w:pPr>
    </w:p>
    <w:p w:rsidR="00D54241" w:rsidRDefault="00D54241" w:rsidP="00006D0A">
      <w:pPr>
        <w:shd w:val="clear" w:color="auto" w:fill="FFFFFF"/>
        <w:spacing w:after="0" w:line="360" w:lineRule="auto"/>
        <w:rPr>
          <w:rFonts w:eastAsia="Times New Roman" w:cstheme="minorHAnsi"/>
          <w:b/>
          <w:bCs/>
          <w:color w:val="333333"/>
        </w:rPr>
      </w:pPr>
    </w:p>
    <w:p w:rsidR="00D54241" w:rsidRPr="00DC7D3C" w:rsidRDefault="00D54241" w:rsidP="00006D0A">
      <w:pPr>
        <w:shd w:val="clear" w:color="auto" w:fill="FFFFFF"/>
        <w:spacing w:after="0" w:line="360" w:lineRule="auto"/>
        <w:rPr>
          <w:rFonts w:eastAsia="Times New Roman" w:cstheme="minorHAnsi"/>
          <w:b/>
          <w:bCs/>
          <w:color w:val="333333"/>
        </w:rPr>
      </w:pPr>
    </w:p>
    <w:p w:rsidR="00243284" w:rsidRDefault="001B4F08" w:rsidP="00006D0A">
      <w:pPr>
        <w:shd w:val="clear" w:color="auto" w:fill="FFFFFF"/>
        <w:spacing w:after="0" w:line="360" w:lineRule="auto"/>
        <w:rPr>
          <w:rFonts w:eastAsia="Times New Roman" w:cstheme="minorHAnsi"/>
          <w:b/>
          <w:bCs/>
          <w:color w:val="333333"/>
          <w:u w:val="single"/>
        </w:rPr>
      </w:pPr>
      <w:r>
        <w:rPr>
          <w:rFonts w:eastAsia="Times New Roman" w:cstheme="minorHAnsi"/>
          <w:b/>
          <w:bCs/>
          <w:color w:val="333333"/>
          <w:u w:val="single"/>
        </w:rPr>
        <w:t>II</w:t>
      </w:r>
      <w:r>
        <w:rPr>
          <w:rFonts w:eastAsia="Times New Roman" w:cstheme="minorHAnsi"/>
          <w:b/>
          <w:bCs/>
          <w:color w:val="333333"/>
          <w:u w:val="single"/>
        </w:rPr>
        <w:tab/>
      </w:r>
      <w:r w:rsidR="00243284">
        <w:rPr>
          <w:rFonts w:eastAsia="Times New Roman" w:cstheme="minorHAnsi"/>
          <w:b/>
          <w:bCs/>
          <w:color w:val="333333"/>
          <w:u w:val="single"/>
        </w:rPr>
        <w:t xml:space="preserve">Emergency Unemployment Insurance Expansion:  </w:t>
      </w:r>
    </w:p>
    <w:p w:rsidR="00243284" w:rsidRPr="00DC7D3C" w:rsidRDefault="00243284" w:rsidP="00006D0A">
      <w:pPr>
        <w:shd w:val="clear" w:color="auto" w:fill="FFFFFF"/>
        <w:spacing w:after="0" w:line="360" w:lineRule="auto"/>
        <w:rPr>
          <w:rFonts w:eastAsia="Times New Roman" w:cstheme="minorHAnsi"/>
          <w:b/>
          <w:bCs/>
          <w:color w:val="333333"/>
          <w:u w:val="single"/>
        </w:rPr>
      </w:pPr>
      <w:r w:rsidRPr="00DC7D3C">
        <w:rPr>
          <w:rFonts w:eastAsia="Times New Roman" w:cstheme="minorHAnsi"/>
          <w:color w:val="333333"/>
        </w:rPr>
        <w:t>The States’ Unemployment programs will be funded to expand unemployment insurance</w:t>
      </w:r>
      <w:r w:rsidR="00E56127">
        <w:rPr>
          <w:rFonts w:eastAsia="Times New Roman" w:cstheme="minorHAnsi"/>
          <w:color w:val="333333"/>
        </w:rPr>
        <w:t>.</w:t>
      </w:r>
    </w:p>
    <w:p w:rsidR="00E56127" w:rsidRPr="00E56127" w:rsidRDefault="00243284" w:rsidP="00006D0A">
      <w:pPr>
        <w:shd w:val="clear" w:color="auto" w:fill="FFFFFF"/>
        <w:spacing w:after="0" w:line="360" w:lineRule="auto"/>
        <w:rPr>
          <w:rFonts w:eastAsia="Times New Roman" w:cstheme="minorHAnsi"/>
          <w:color w:val="333333"/>
        </w:rPr>
      </w:pPr>
      <w:r w:rsidRPr="00DC7D3C">
        <w:rPr>
          <w:rFonts w:eastAsia="Times New Roman" w:cstheme="minorHAnsi"/>
          <w:color w:val="333333"/>
        </w:rPr>
        <w:t xml:space="preserve">Specifically, nonprofits will be provided “Emergency Unemployment Relief” for half of the costs they incur through December 31, 2020 to pay unemployment benefits.  </w:t>
      </w:r>
    </w:p>
    <w:p w:rsidR="001B4F08" w:rsidRPr="00DC7D3C" w:rsidRDefault="001B4F08" w:rsidP="00006D0A">
      <w:pPr>
        <w:shd w:val="clear" w:color="auto" w:fill="FFFFFF"/>
        <w:spacing w:after="0" w:line="360" w:lineRule="auto"/>
        <w:rPr>
          <w:rFonts w:eastAsia="Times New Roman" w:cstheme="minorHAnsi"/>
          <w:b/>
          <w:bCs/>
          <w:color w:val="333333"/>
          <w:u w:val="single"/>
        </w:rPr>
      </w:pPr>
    </w:p>
    <w:p w:rsidR="00243284" w:rsidRDefault="001B4F08" w:rsidP="00006D0A">
      <w:pPr>
        <w:shd w:val="clear" w:color="auto" w:fill="FFFFFF"/>
        <w:spacing w:after="0" w:line="360" w:lineRule="auto"/>
      </w:pPr>
      <w:r>
        <w:rPr>
          <w:b/>
          <w:bCs/>
          <w:u w:val="single"/>
        </w:rPr>
        <w:t>III</w:t>
      </w:r>
      <w:r>
        <w:rPr>
          <w:b/>
          <w:bCs/>
          <w:u w:val="single"/>
        </w:rPr>
        <w:tab/>
      </w:r>
      <w:r w:rsidR="00243284">
        <w:rPr>
          <w:b/>
          <w:bCs/>
          <w:u w:val="single"/>
        </w:rPr>
        <w:t>Employee Retention Tax Credit (Against Payroll Taxes)</w:t>
      </w:r>
    </w:p>
    <w:p w:rsidR="00243284" w:rsidRDefault="00243284" w:rsidP="00006D0A">
      <w:pPr>
        <w:shd w:val="clear" w:color="auto" w:fill="FFFFFF"/>
        <w:spacing w:after="0" w:line="360" w:lineRule="auto"/>
      </w:pPr>
      <w:r>
        <w:t>Provides a refundable payroll tax credit for 50% of wages paid by employers to employees during the Coronavirus crisis.  The credit is available to employers (including nonprofits) whose:</w:t>
      </w:r>
    </w:p>
    <w:p w:rsidR="00243284" w:rsidRDefault="00243284" w:rsidP="00006D0A">
      <w:pPr>
        <w:shd w:val="clear" w:color="auto" w:fill="FFFFFF"/>
        <w:spacing w:after="0" w:line="360" w:lineRule="auto"/>
      </w:pPr>
      <w:r>
        <w:t>Operations were fully or partially suspended due to a coronavirus related shut-down order, or</w:t>
      </w:r>
    </w:p>
    <w:p w:rsidR="00243284" w:rsidRDefault="00243284" w:rsidP="00006D0A">
      <w:pPr>
        <w:shd w:val="clear" w:color="auto" w:fill="FFFFFF"/>
        <w:spacing w:after="0" w:line="360" w:lineRule="auto"/>
      </w:pPr>
      <w:r>
        <w:t xml:space="preserve">Gross receipts declined by more than 50% when compared to the same quarter in the prior year.  </w:t>
      </w:r>
    </w:p>
    <w:p w:rsidR="00DC7D3C" w:rsidRDefault="00243284" w:rsidP="00DC7D3C">
      <w:pPr>
        <w:shd w:val="clear" w:color="auto" w:fill="FFFFFF"/>
        <w:spacing w:after="0" w:line="360" w:lineRule="auto"/>
      </w:pPr>
      <w:r>
        <w:t xml:space="preserve">The credit is based on qualified wages paid to the employee.  </w:t>
      </w:r>
    </w:p>
    <w:p w:rsidR="00E56127" w:rsidRDefault="00E56127" w:rsidP="00DC7D3C">
      <w:pPr>
        <w:shd w:val="clear" w:color="auto" w:fill="FFFFFF"/>
        <w:spacing w:after="0" w:line="360" w:lineRule="auto"/>
      </w:pPr>
      <w:r>
        <w:t>Employers receiving an SBA 7(a) loan are not eligible to receive this credit.</w:t>
      </w:r>
    </w:p>
    <w:p w:rsidR="00E56127" w:rsidRPr="00AF3D4A" w:rsidRDefault="00E56127" w:rsidP="00DC7D3C">
      <w:pPr>
        <w:shd w:val="clear" w:color="auto" w:fill="FFFFFF"/>
        <w:spacing w:after="0" w:line="360" w:lineRule="auto"/>
      </w:pPr>
    </w:p>
    <w:p w:rsidR="00243284" w:rsidRDefault="001B4F08" w:rsidP="00006D0A">
      <w:pPr>
        <w:shd w:val="clear" w:color="auto" w:fill="FFFFFF"/>
        <w:spacing w:after="0" w:line="360" w:lineRule="auto"/>
        <w:rPr>
          <w:b/>
          <w:bCs/>
          <w:u w:val="single"/>
        </w:rPr>
      </w:pPr>
      <w:r>
        <w:rPr>
          <w:b/>
          <w:bCs/>
          <w:u w:val="single"/>
        </w:rPr>
        <w:t>IV</w:t>
      </w:r>
      <w:r>
        <w:rPr>
          <w:b/>
          <w:bCs/>
          <w:u w:val="single"/>
        </w:rPr>
        <w:tab/>
      </w:r>
      <w:r w:rsidR="00243284">
        <w:rPr>
          <w:b/>
          <w:bCs/>
          <w:u w:val="single"/>
        </w:rPr>
        <w:t xml:space="preserve">Payroll Tax </w:t>
      </w:r>
      <w:r>
        <w:rPr>
          <w:b/>
          <w:bCs/>
          <w:u w:val="single"/>
        </w:rPr>
        <w:t>Payment</w:t>
      </w:r>
      <w:r w:rsidR="00243284">
        <w:rPr>
          <w:b/>
          <w:bCs/>
          <w:u w:val="single"/>
        </w:rPr>
        <w:t xml:space="preserve"> Deferral </w:t>
      </w:r>
    </w:p>
    <w:p w:rsidR="00243284" w:rsidRPr="00DC7D3C" w:rsidRDefault="00243284" w:rsidP="00006D0A">
      <w:pPr>
        <w:shd w:val="clear" w:color="auto" w:fill="FFFFFF"/>
        <w:spacing w:after="0" w:line="360" w:lineRule="auto"/>
        <w:rPr>
          <w:b/>
          <w:bCs/>
          <w:u w:val="single"/>
        </w:rPr>
      </w:pPr>
      <w:r>
        <w:t xml:space="preserve">Allows employers and self-employed individuals to defer payments of the employer share of the Social Security tax with respect to their employees.  </w:t>
      </w:r>
    </w:p>
    <w:p w:rsidR="00243284" w:rsidRPr="00DC7D3C" w:rsidRDefault="00243284" w:rsidP="00006D0A">
      <w:pPr>
        <w:shd w:val="clear" w:color="auto" w:fill="FFFFFF"/>
        <w:spacing w:after="0" w:line="360" w:lineRule="auto"/>
        <w:rPr>
          <w:b/>
          <w:bCs/>
          <w:u w:val="single"/>
        </w:rPr>
      </w:pPr>
      <w:r>
        <w:t xml:space="preserve">Requires the tax be repaid by December 31, 2022.  </w:t>
      </w:r>
    </w:p>
    <w:p w:rsidR="00243284" w:rsidRPr="002322F1" w:rsidRDefault="00243284" w:rsidP="00006D0A">
      <w:r w:rsidRPr="002322F1">
        <w:t xml:space="preserve">For corporations, the 10% limitation is increased to 25% of taxable income.  </w:t>
      </w:r>
    </w:p>
    <w:p w:rsidR="00243284" w:rsidRPr="00CD7464" w:rsidRDefault="00243284" w:rsidP="00006D0A">
      <w:pPr>
        <w:pStyle w:val="ListParagraph"/>
        <w:shd w:val="clear" w:color="auto" w:fill="FFFFFF"/>
        <w:spacing w:after="0" w:line="360" w:lineRule="auto"/>
        <w:ind w:left="0"/>
        <w:rPr>
          <w:rFonts w:ascii="Arial" w:eastAsia="Times New Roman" w:hAnsi="Arial" w:cs="Arial"/>
          <w:b/>
          <w:bCs/>
          <w:color w:val="333333"/>
          <w:sz w:val="18"/>
          <w:szCs w:val="18"/>
        </w:rPr>
      </w:pPr>
    </w:p>
    <w:p w:rsidR="00243284" w:rsidRDefault="001B4F08" w:rsidP="00006D0A">
      <w:pPr>
        <w:shd w:val="clear" w:color="auto" w:fill="FFFFFF"/>
        <w:spacing w:after="0" w:line="360" w:lineRule="auto"/>
      </w:pPr>
      <w:r>
        <w:rPr>
          <w:b/>
          <w:bCs/>
          <w:u w:val="single"/>
        </w:rPr>
        <w:t>V.</w:t>
      </w:r>
      <w:r>
        <w:rPr>
          <w:b/>
          <w:bCs/>
          <w:u w:val="single"/>
        </w:rPr>
        <w:tab/>
        <w:t>Aid Specifically for Nonpublic Schools – In Addition to the Loans Above</w:t>
      </w:r>
      <w:r w:rsidR="00243284" w:rsidRPr="00E30929">
        <w:rPr>
          <w:b/>
          <w:bCs/>
          <w:u w:val="single"/>
        </w:rPr>
        <w:t>:</w:t>
      </w:r>
      <w:r w:rsidR="00243284">
        <w:t xml:space="preserve">  </w:t>
      </w:r>
    </w:p>
    <w:p w:rsidR="00243284" w:rsidRPr="002B48B3" w:rsidRDefault="001B4F08" w:rsidP="00006D0A">
      <w:pPr>
        <w:shd w:val="clear" w:color="auto" w:fill="FFFFFF"/>
        <w:spacing w:after="0" w:line="360" w:lineRule="auto"/>
        <w:ind w:firstLine="720"/>
        <w:rPr>
          <w:b/>
        </w:rPr>
      </w:pPr>
      <w:r w:rsidRPr="002B48B3">
        <w:rPr>
          <w:b/>
        </w:rPr>
        <w:t>1)</w:t>
      </w:r>
      <w:r w:rsidRPr="002B48B3">
        <w:rPr>
          <w:b/>
        </w:rPr>
        <w:tab/>
      </w:r>
      <w:r w:rsidR="00243284" w:rsidRPr="002B48B3">
        <w:rPr>
          <w:b/>
        </w:rPr>
        <w:t>Governor’s Emergency Grants</w:t>
      </w:r>
      <w:r w:rsidR="00F468A9">
        <w:rPr>
          <w:b/>
        </w:rPr>
        <w:t xml:space="preserve"> (Sec. 18002, 18005)</w:t>
      </w:r>
      <w:r w:rsidR="00243284" w:rsidRPr="002B48B3">
        <w:rPr>
          <w:b/>
        </w:rPr>
        <w:t xml:space="preserve">:  </w:t>
      </w:r>
    </w:p>
    <w:p w:rsidR="00243284" w:rsidRDefault="00243284" w:rsidP="00006D0A">
      <w:r>
        <w:t xml:space="preserve">May be used to provide to entities the Governor deems essential for carrying out emergency educational services to students </w:t>
      </w:r>
      <w:r w:rsidR="0035586B">
        <w:t>including</w:t>
      </w:r>
      <w:r>
        <w:t xml:space="preserve"> the provision of child care and early childhood education, social and emotional support, and the protection of education-related jobs.</w:t>
      </w:r>
    </w:p>
    <w:p w:rsidR="00243284" w:rsidRPr="002B48B3" w:rsidRDefault="002B48B3" w:rsidP="00006D0A">
      <w:pPr>
        <w:rPr>
          <w:b/>
        </w:rPr>
      </w:pPr>
      <w:r>
        <w:rPr>
          <w:b/>
          <w:bCs/>
          <w:i/>
          <w:iCs/>
        </w:rPr>
        <w:tab/>
      </w:r>
      <w:r w:rsidR="001B4F08" w:rsidRPr="002B48B3">
        <w:rPr>
          <w:b/>
        </w:rPr>
        <w:t>2)</w:t>
      </w:r>
      <w:r w:rsidR="001B4F08" w:rsidRPr="002B48B3">
        <w:rPr>
          <w:b/>
        </w:rPr>
        <w:tab/>
      </w:r>
      <w:r w:rsidR="0023532B">
        <w:rPr>
          <w:b/>
        </w:rPr>
        <w:t xml:space="preserve">Elementary &amp; Secondary School Emergency Relief Fund </w:t>
      </w:r>
      <w:r w:rsidR="001B4F08" w:rsidRPr="002B48B3">
        <w:rPr>
          <w:b/>
        </w:rPr>
        <w:t>via LEAs</w:t>
      </w:r>
      <w:r w:rsidR="00F468A9">
        <w:rPr>
          <w:b/>
        </w:rPr>
        <w:t xml:space="preserve"> (Sec. 18003, 18005)</w:t>
      </w:r>
      <w:r w:rsidR="00243284" w:rsidRPr="002B48B3">
        <w:rPr>
          <w:b/>
        </w:rPr>
        <w:t xml:space="preserve">:  </w:t>
      </w:r>
    </w:p>
    <w:p w:rsidR="00243284" w:rsidRDefault="00243284" w:rsidP="00006D0A">
      <w:pPr>
        <w:shd w:val="clear" w:color="auto" w:fill="FFFFFF"/>
        <w:spacing w:after="0" w:line="360" w:lineRule="auto"/>
      </w:pPr>
      <w:r>
        <w:t xml:space="preserve">Local Educational Agencies (LEAs) </w:t>
      </w:r>
      <w:r w:rsidR="0035586B">
        <w:t>will receive funds</w:t>
      </w:r>
      <w:r w:rsidR="0023532B">
        <w:t xml:space="preserve"> under this relief fund for schools</w:t>
      </w:r>
      <w:r>
        <w:t xml:space="preserve"> </w:t>
      </w:r>
      <w:r w:rsidR="0035586B">
        <w:t>and “</w:t>
      </w:r>
      <w:r>
        <w:t>shall provide equitable services to students and teachers in non-public schools</w:t>
      </w:r>
      <w:r w:rsidR="0035586B">
        <w:t xml:space="preserve"> in the same manner as are provided under </w:t>
      </w:r>
      <w:r w:rsidR="0023532B">
        <w:t>the ESE</w:t>
      </w:r>
      <w:r w:rsidR="0035586B">
        <w:t>A</w:t>
      </w:r>
      <w:r w:rsidR="0023532B">
        <w:t xml:space="preserve"> of 1965</w:t>
      </w:r>
      <w:r w:rsidR="0035586B">
        <w:t>.”</w:t>
      </w:r>
    </w:p>
    <w:p w:rsidR="001B4F08" w:rsidRDefault="001B4F08" w:rsidP="00006D0A">
      <w:pPr>
        <w:shd w:val="clear" w:color="auto" w:fill="FFFFFF"/>
        <w:spacing w:after="0" w:line="360" w:lineRule="auto"/>
      </w:pPr>
    </w:p>
    <w:p w:rsidR="00243284" w:rsidRPr="008331A7" w:rsidRDefault="001B4F08" w:rsidP="00006D0A">
      <w:pPr>
        <w:shd w:val="clear" w:color="auto" w:fill="FFFFFF"/>
        <w:spacing w:after="0" w:line="360" w:lineRule="auto"/>
      </w:pPr>
      <w:r>
        <w:rPr>
          <w:b/>
          <w:bCs/>
          <w:u w:val="single"/>
        </w:rPr>
        <w:t>VI.</w:t>
      </w:r>
      <w:r>
        <w:rPr>
          <w:b/>
          <w:bCs/>
          <w:u w:val="single"/>
        </w:rPr>
        <w:tab/>
      </w:r>
      <w:r w:rsidR="00243284">
        <w:rPr>
          <w:b/>
          <w:bCs/>
          <w:u w:val="single"/>
        </w:rPr>
        <w:t>FEMA Emergency Grants:</w:t>
      </w:r>
      <w:r w:rsidR="00243284">
        <w:t xml:space="preserve">  More information on FEMA emergency grants will be available in the coming months.  </w:t>
      </w:r>
    </w:p>
    <w:p w:rsidR="00243284" w:rsidRDefault="00243284" w:rsidP="00006D0A">
      <w:pPr>
        <w:shd w:val="clear" w:color="auto" w:fill="FFFFFF"/>
        <w:spacing w:after="0" w:line="360" w:lineRule="auto"/>
      </w:pPr>
    </w:p>
    <w:p w:rsidR="00D54241" w:rsidRDefault="00D54241" w:rsidP="00006D0A">
      <w:pPr>
        <w:shd w:val="clear" w:color="auto" w:fill="FFFFFF"/>
        <w:spacing w:after="0" w:line="360" w:lineRule="auto"/>
      </w:pPr>
    </w:p>
    <w:p w:rsidR="00D54241" w:rsidRDefault="00D54241" w:rsidP="00006D0A">
      <w:pPr>
        <w:shd w:val="clear" w:color="auto" w:fill="FFFFFF"/>
        <w:spacing w:after="0" w:line="360" w:lineRule="auto"/>
      </w:pPr>
    </w:p>
    <w:p w:rsidR="001B4F08" w:rsidRPr="00434AA0" w:rsidRDefault="001B4F08" w:rsidP="00DC7D3C">
      <w:pPr>
        <w:shd w:val="clear" w:color="auto" w:fill="FFFFFF"/>
        <w:spacing w:after="0" w:line="360" w:lineRule="auto"/>
        <w:rPr>
          <w:rFonts w:eastAsia="Times New Roman" w:cstheme="minorHAnsi"/>
          <w:b/>
          <w:bCs/>
          <w:color w:val="333333"/>
          <w:u w:val="single"/>
        </w:rPr>
      </w:pPr>
      <w:r>
        <w:rPr>
          <w:rFonts w:eastAsia="Times New Roman" w:cstheme="minorHAnsi"/>
          <w:b/>
          <w:bCs/>
          <w:color w:val="333333"/>
          <w:u w:val="single"/>
        </w:rPr>
        <w:t>VII.</w:t>
      </w:r>
      <w:r>
        <w:rPr>
          <w:rFonts w:eastAsia="Times New Roman" w:cstheme="minorHAnsi"/>
          <w:b/>
          <w:bCs/>
          <w:color w:val="333333"/>
          <w:u w:val="single"/>
        </w:rPr>
        <w:tab/>
        <w:t xml:space="preserve">New </w:t>
      </w:r>
      <w:r w:rsidRPr="00434AA0">
        <w:rPr>
          <w:rFonts w:eastAsia="Times New Roman" w:cstheme="minorHAnsi"/>
          <w:b/>
          <w:bCs/>
          <w:color w:val="333333"/>
          <w:u w:val="single"/>
        </w:rPr>
        <w:t>Deduction for Charitable Contributions</w:t>
      </w:r>
      <w:r>
        <w:rPr>
          <w:rFonts w:eastAsia="Times New Roman" w:cstheme="minorHAnsi"/>
          <w:b/>
          <w:bCs/>
          <w:color w:val="333333"/>
          <w:u w:val="single"/>
        </w:rPr>
        <w:t>:</w:t>
      </w:r>
    </w:p>
    <w:p w:rsidR="001B4F08" w:rsidRPr="00DC7D3C" w:rsidRDefault="001B4F08" w:rsidP="00DC7D3C">
      <w:pPr>
        <w:shd w:val="clear" w:color="auto" w:fill="FFFFFF"/>
        <w:spacing w:after="0" w:line="360" w:lineRule="auto"/>
        <w:rPr>
          <w:rFonts w:eastAsia="Times New Roman" w:cstheme="minorHAnsi"/>
          <w:b/>
          <w:bCs/>
          <w:color w:val="333333"/>
        </w:rPr>
      </w:pPr>
      <w:r w:rsidRPr="00DC7D3C">
        <w:rPr>
          <w:rFonts w:eastAsia="Times New Roman" w:cstheme="minorHAnsi"/>
          <w:color w:val="333333"/>
        </w:rPr>
        <w:t xml:space="preserve">Allows Americans to deduct up to $300 of cash contributions to charities (whether the individuals itemize their deductions or not).  </w:t>
      </w:r>
    </w:p>
    <w:p w:rsidR="001B4F08" w:rsidRPr="00DC7D3C" w:rsidRDefault="001B4F08" w:rsidP="00DC7D3C">
      <w:pPr>
        <w:shd w:val="clear" w:color="auto" w:fill="FFFFFF"/>
        <w:spacing w:after="0" w:line="360" w:lineRule="auto"/>
        <w:rPr>
          <w:rFonts w:eastAsia="Times New Roman" w:cstheme="minorHAnsi"/>
          <w:b/>
          <w:bCs/>
          <w:color w:val="333333"/>
        </w:rPr>
      </w:pPr>
      <w:r w:rsidRPr="00DC7D3C">
        <w:rPr>
          <w:rFonts w:eastAsia="Times New Roman" w:cstheme="minorHAnsi"/>
          <w:color w:val="333333"/>
        </w:rPr>
        <w:t xml:space="preserve">Increases the limitations on deductions for charitable contributions by individuals who itemize, as well as corporations.  </w:t>
      </w:r>
    </w:p>
    <w:p w:rsidR="001B4F08" w:rsidRPr="00DC7D3C" w:rsidRDefault="001B4F08" w:rsidP="00DC7D3C">
      <w:pPr>
        <w:shd w:val="clear" w:color="auto" w:fill="FFFFFF"/>
        <w:spacing w:after="0" w:line="360" w:lineRule="auto"/>
        <w:rPr>
          <w:rFonts w:eastAsia="Times New Roman" w:cstheme="minorHAnsi"/>
          <w:b/>
          <w:bCs/>
          <w:color w:val="333333"/>
        </w:rPr>
      </w:pPr>
      <w:r w:rsidRPr="00DC7D3C">
        <w:rPr>
          <w:rFonts w:eastAsia="Times New Roman" w:cstheme="minorHAnsi"/>
          <w:color w:val="333333"/>
        </w:rPr>
        <w:t>For individuals, the 50% of adjusted gross income limitation is suspended for 2020</w:t>
      </w:r>
    </w:p>
    <w:p w:rsidR="00190D8D" w:rsidRDefault="00190D8D" w:rsidP="00006D0A">
      <w:pPr>
        <w:spacing w:after="0" w:line="360" w:lineRule="auto"/>
        <w:rPr>
          <w:rFonts w:ascii="Garamond" w:hAnsi="Garamond"/>
        </w:rPr>
      </w:pPr>
    </w:p>
    <w:p w:rsidR="001B4F08" w:rsidRDefault="001B4F08" w:rsidP="00DC7D3C">
      <w:pPr>
        <w:shd w:val="clear" w:color="auto" w:fill="FFFFFF"/>
        <w:spacing w:after="0" w:line="360" w:lineRule="auto"/>
        <w:rPr>
          <w:rFonts w:eastAsia="Times New Roman" w:cstheme="minorHAnsi"/>
          <w:b/>
          <w:bCs/>
          <w:color w:val="333333"/>
          <w:u w:val="single"/>
        </w:rPr>
      </w:pPr>
      <w:r>
        <w:rPr>
          <w:rFonts w:eastAsia="Times New Roman" w:cstheme="minorHAnsi"/>
          <w:b/>
          <w:bCs/>
          <w:color w:val="333333"/>
          <w:u w:val="single"/>
        </w:rPr>
        <w:t>VIII.</w:t>
      </w:r>
      <w:r>
        <w:rPr>
          <w:rFonts w:eastAsia="Times New Roman" w:cstheme="minorHAnsi"/>
          <w:b/>
          <w:bCs/>
          <w:color w:val="333333"/>
          <w:u w:val="single"/>
        </w:rPr>
        <w:tab/>
        <w:t>For “Large” Nonprofit Organizations:</w:t>
      </w:r>
    </w:p>
    <w:p w:rsidR="001B4F08" w:rsidRPr="00006D0A" w:rsidRDefault="001B4F08">
      <w:pPr>
        <w:shd w:val="clear" w:color="auto" w:fill="FFFFFF"/>
        <w:spacing w:after="0" w:line="360" w:lineRule="auto"/>
        <w:rPr>
          <w:rFonts w:eastAsia="Times New Roman" w:cstheme="minorHAnsi"/>
          <w:b/>
          <w:bCs/>
          <w:color w:val="333333"/>
          <w:u w:val="single"/>
        </w:rPr>
      </w:pPr>
      <w:r w:rsidRPr="00DC7D3C">
        <w:rPr>
          <w:rFonts w:eastAsia="Times New Roman" w:cstheme="minorHAnsi"/>
          <w:color w:val="333333"/>
        </w:rPr>
        <w:t>Nonprofits with more than 500 employees may be able to access Federal support through two programs</w:t>
      </w:r>
    </w:p>
    <w:p w:rsidR="001B4F08" w:rsidRPr="00006D0A" w:rsidRDefault="001B4F08">
      <w:pPr>
        <w:shd w:val="clear" w:color="auto" w:fill="FFFFFF"/>
        <w:spacing w:after="0" w:line="360" w:lineRule="auto"/>
        <w:rPr>
          <w:rFonts w:eastAsia="Times New Roman" w:cstheme="minorHAnsi"/>
          <w:b/>
          <w:bCs/>
          <w:color w:val="333333"/>
          <w:u w:val="single"/>
        </w:rPr>
      </w:pPr>
      <w:r w:rsidRPr="00DC7D3C">
        <w:rPr>
          <w:rFonts w:eastAsia="Times New Roman" w:cstheme="minorHAnsi"/>
          <w:color w:val="333333"/>
        </w:rPr>
        <w:t>1)   The SBA 7(a) loans under a category that considers the “industry standard” in which the organization is categorized</w:t>
      </w:r>
    </w:p>
    <w:p w:rsidR="001B4F08" w:rsidRDefault="001B4F08">
      <w:pPr>
        <w:shd w:val="clear" w:color="auto" w:fill="FFFFFF"/>
        <w:spacing w:after="0" w:line="360" w:lineRule="auto"/>
        <w:rPr>
          <w:rFonts w:eastAsia="Times New Roman" w:cstheme="minorHAnsi"/>
          <w:color w:val="333333"/>
        </w:rPr>
      </w:pPr>
      <w:r w:rsidRPr="00DC7D3C">
        <w:rPr>
          <w:rFonts w:eastAsia="Times New Roman" w:cstheme="minorHAnsi"/>
          <w:color w:val="333333"/>
        </w:rPr>
        <w:t>2)   The Economic Stabilization Fund to be administered by the Treasury Department.</w:t>
      </w:r>
      <w:r w:rsidR="0035586B" w:rsidRPr="00DC7D3C">
        <w:rPr>
          <w:rFonts w:eastAsia="Times New Roman" w:cstheme="minorHAnsi"/>
          <w:color w:val="333333"/>
        </w:rPr>
        <w:t xml:space="preserve">  Many of the details of this new program are still to be determined.  So far, it will be available to entities with more than 500 employees, provide loans at a rate of 2% and in turn the government will “share in the profits” of the borrower.</w:t>
      </w:r>
    </w:p>
    <w:p w:rsidR="002B48B3" w:rsidRDefault="002B48B3" w:rsidP="002B48B3">
      <w:pPr>
        <w:shd w:val="clear" w:color="auto" w:fill="FFFFFF"/>
        <w:spacing w:after="0" w:line="360" w:lineRule="auto"/>
        <w:rPr>
          <w:rFonts w:eastAsia="Times New Roman" w:cstheme="minorHAnsi"/>
          <w:color w:val="333333"/>
        </w:rPr>
      </w:pPr>
    </w:p>
    <w:p w:rsidR="002B48B3" w:rsidRDefault="002B48B3" w:rsidP="002B48B3">
      <w:pPr>
        <w:shd w:val="clear" w:color="auto" w:fill="FFFFFF"/>
        <w:spacing w:after="0" w:line="360" w:lineRule="auto"/>
        <w:rPr>
          <w:rFonts w:eastAsia="Times New Roman" w:cstheme="minorHAnsi"/>
          <w:color w:val="333333"/>
        </w:rPr>
      </w:pPr>
      <w:r>
        <w:rPr>
          <w:rFonts w:eastAsia="Times New Roman" w:cstheme="minorHAnsi"/>
          <w:b/>
          <w:color w:val="333333"/>
          <w:u w:val="single"/>
        </w:rPr>
        <w:t>IX.</w:t>
      </w:r>
      <w:r>
        <w:rPr>
          <w:rFonts w:eastAsia="Times New Roman" w:cstheme="minorHAnsi"/>
          <w:b/>
          <w:color w:val="333333"/>
          <w:u w:val="single"/>
        </w:rPr>
        <w:tab/>
        <w:t>Expanded Unemployment Insurance Coverage and Benefits</w:t>
      </w:r>
      <w:r>
        <w:rPr>
          <w:rFonts w:eastAsia="Times New Roman" w:cstheme="minorHAnsi"/>
          <w:b/>
          <w:color w:val="333333"/>
        </w:rPr>
        <w:t>:</w:t>
      </w:r>
    </w:p>
    <w:p w:rsidR="002B48B3" w:rsidRDefault="002B48B3" w:rsidP="002B48B3">
      <w:pPr>
        <w:shd w:val="clear" w:color="auto" w:fill="FFFFFF"/>
        <w:spacing w:after="0" w:line="360" w:lineRule="auto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>The CARES Act enacts a dramatic expansion of unemployment</w:t>
      </w:r>
      <w:r w:rsidR="000B4196">
        <w:rPr>
          <w:rFonts w:eastAsia="Times New Roman" w:cstheme="minorHAnsi"/>
          <w:color w:val="333333"/>
        </w:rPr>
        <w:t xml:space="preserve"> insurance (UI) benefits.</w:t>
      </w:r>
    </w:p>
    <w:p w:rsidR="002B48B3" w:rsidRDefault="002B48B3" w:rsidP="002B48B3">
      <w:pPr>
        <w:shd w:val="clear" w:color="auto" w:fill="FFFFFF"/>
        <w:spacing w:after="0" w:line="360" w:lineRule="auto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>Among its provisions</w:t>
      </w:r>
      <w:r w:rsidR="000B4196">
        <w:rPr>
          <w:rFonts w:eastAsia="Times New Roman" w:cstheme="minorHAnsi"/>
          <w:color w:val="333333"/>
        </w:rPr>
        <w:t xml:space="preserve"> relevant to nonprofit employers and/or their employees</w:t>
      </w:r>
      <w:r>
        <w:rPr>
          <w:rFonts w:eastAsia="Times New Roman" w:cstheme="minorHAnsi"/>
          <w:color w:val="333333"/>
        </w:rPr>
        <w:t>:</w:t>
      </w:r>
    </w:p>
    <w:p w:rsidR="002B48B3" w:rsidRDefault="002B48B3" w:rsidP="00AF3D4A">
      <w:pPr>
        <w:shd w:val="clear" w:color="auto" w:fill="FFFFFF"/>
        <w:spacing w:after="0" w:line="360" w:lineRule="auto"/>
        <w:ind w:firstLine="720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 xml:space="preserve">The creation of a temporary Pandemic Unemployment Assistance (PUA) program through </w:t>
      </w:r>
      <w:proofErr w:type="gramStart"/>
      <w:r>
        <w:rPr>
          <w:rFonts w:eastAsia="Times New Roman" w:cstheme="minorHAnsi"/>
          <w:color w:val="333333"/>
        </w:rPr>
        <w:t>December,</w:t>
      </w:r>
      <w:proofErr w:type="gramEnd"/>
      <w:r>
        <w:rPr>
          <w:rFonts w:eastAsia="Times New Roman" w:cstheme="minorHAnsi"/>
          <w:color w:val="333333"/>
        </w:rPr>
        <w:t xml:space="preserve"> 2020 to provide payments to those not otherwise eligible for unemployment benefits.</w:t>
      </w:r>
    </w:p>
    <w:p w:rsidR="002B48B3" w:rsidRDefault="002B48B3" w:rsidP="00AF3D4A">
      <w:pPr>
        <w:shd w:val="clear" w:color="auto" w:fill="FFFFFF"/>
        <w:spacing w:after="0" w:line="360" w:lineRule="auto"/>
        <w:ind w:firstLine="720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 xml:space="preserve">The creation of an emergency fund to provide payment to states to reimburse nonprofits for </w:t>
      </w:r>
      <w:r>
        <w:rPr>
          <w:rFonts w:eastAsia="Times New Roman" w:cstheme="minorHAnsi"/>
          <w:color w:val="333333"/>
          <w:u w:val="single"/>
        </w:rPr>
        <w:t>half the costs</w:t>
      </w:r>
      <w:r>
        <w:rPr>
          <w:rFonts w:eastAsia="Times New Roman" w:cstheme="minorHAnsi"/>
          <w:color w:val="333333"/>
        </w:rPr>
        <w:t xml:space="preserve"> they incur through Dec</w:t>
      </w:r>
      <w:proofErr w:type="gramStart"/>
      <w:r>
        <w:rPr>
          <w:rFonts w:eastAsia="Times New Roman" w:cstheme="minorHAnsi"/>
          <w:color w:val="333333"/>
        </w:rPr>
        <w:t>.,</w:t>
      </w:r>
      <w:proofErr w:type="gramEnd"/>
      <w:r>
        <w:rPr>
          <w:rFonts w:eastAsia="Times New Roman" w:cstheme="minorHAnsi"/>
          <w:color w:val="333333"/>
        </w:rPr>
        <w:t xml:space="preserve"> 2020 to pay UI.</w:t>
      </w:r>
    </w:p>
    <w:p w:rsidR="002B48B3" w:rsidRPr="002B48B3" w:rsidRDefault="002B48B3" w:rsidP="00AF3D4A">
      <w:pPr>
        <w:shd w:val="clear" w:color="auto" w:fill="FFFFFF"/>
        <w:spacing w:after="0" w:line="360" w:lineRule="auto"/>
        <w:ind w:firstLine="720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>Providing an additional $600 per week payment to each recipient of UI or PUA for up to 4 months.</w:t>
      </w:r>
    </w:p>
    <w:p w:rsidR="002B48B3" w:rsidRDefault="002B48B3" w:rsidP="002B48B3">
      <w:pPr>
        <w:shd w:val="clear" w:color="auto" w:fill="FFFFFF"/>
        <w:spacing w:after="0" w:line="360" w:lineRule="auto"/>
        <w:rPr>
          <w:rFonts w:eastAsia="Times New Roman" w:cstheme="minorHAnsi"/>
          <w:color w:val="333333"/>
        </w:rPr>
      </w:pPr>
    </w:p>
    <w:p w:rsidR="002B48B3" w:rsidRPr="002B48B3" w:rsidRDefault="002B48B3" w:rsidP="002B48B3">
      <w:pPr>
        <w:shd w:val="clear" w:color="auto" w:fill="FFFFFF"/>
        <w:spacing w:after="0" w:line="360" w:lineRule="auto"/>
        <w:rPr>
          <w:rFonts w:eastAsia="Times New Roman" w:cstheme="minorHAnsi"/>
          <w:color w:val="333333"/>
        </w:rPr>
      </w:pPr>
    </w:p>
    <w:p w:rsidR="001B4F08" w:rsidRPr="00181241" w:rsidRDefault="001B4F08" w:rsidP="00006D0A">
      <w:pPr>
        <w:spacing w:after="0" w:line="360" w:lineRule="auto"/>
        <w:rPr>
          <w:rFonts w:ascii="Garamond" w:hAnsi="Garamond"/>
        </w:rPr>
      </w:pPr>
    </w:p>
    <w:sectPr w:rsidR="001B4F08" w:rsidRPr="00181241" w:rsidSect="00503F94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30" w:right="1440" w:bottom="1440" w:left="144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054" w:rsidRDefault="00EE4054" w:rsidP="00C213D1">
      <w:r>
        <w:separator/>
      </w:r>
    </w:p>
  </w:endnote>
  <w:endnote w:type="continuationSeparator" w:id="0">
    <w:p w:rsidR="00EE4054" w:rsidRDefault="00EE4054" w:rsidP="00C21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4F2" w:rsidRDefault="009C34F2" w:rsidP="00AF3D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C34F2" w:rsidRDefault="009C34F2" w:rsidP="00AF3D4A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4F2" w:rsidRDefault="009C34F2" w:rsidP="00AF3D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33F15">
      <w:rPr>
        <w:rStyle w:val="PageNumber"/>
        <w:noProof/>
      </w:rPr>
      <w:t>2</w:t>
    </w:r>
    <w:r>
      <w:rPr>
        <w:rStyle w:val="PageNumber"/>
      </w:rPr>
      <w:fldChar w:fldCharType="end"/>
    </w:r>
  </w:p>
  <w:p w:rsidR="009C34F2" w:rsidRPr="00B21FFC" w:rsidRDefault="009C34F2" w:rsidP="00AF3D4A">
    <w:pPr>
      <w:pStyle w:val="ReturnAddress"/>
      <w:framePr w:w="0" w:wrap="auto" w:vAnchor="margin" w:hAnchor="text" w:xAlign="left" w:yAlign="inline"/>
      <w:tabs>
        <w:tab w:val="clear" w:pos="2160"/>
        <w:tab w:val="left" w:pos="1440"/>
      </w:tabs>
      <w:ind w:right="360"/>
      <w:rPr>
        <w:b/>
        <w:sz w:val="16"/>
      </w:rPr>
    </w:pPr>
  </w:p>
  <w:p w:rsidR="009C34F2" w:rsidRDefault="009C34F2" w:rsidP="00B21FFC">
    <w:pPr>
      <w:pStyle w:val="Footer"/>
    </w:pPr>
  </w:p>
  <w:p w:rsidR="009C34F2" w:rsidRDefault="009C34F2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4F2" w:rsidRDefault="009C34F2" w:rsidP="00503F94">
    <w:pPr>
      <w:pStyle w:val="ReturnAddress"/>
      <w:framePr w:w="0" w:wrap="auto" w:vAnchor="margin" w:hAnchor="text" w:xAlign="left" w:yAlign="inline"/>
      <w:tabs>
        <w:tab w:val="clear" w:pos="2160"/>
        <w:tab w:val="left" w:pos="1440"/>
      </w:tabs>
      <w:rPr>
        <w:b/>
        <w:sz w:val="16"/>
      </w:rPr>
    </w:pPr>
    <w:r>
      <w:rPr>
        <w:b/>
        <w:sz w:val="16"/>
      </w:rPr>
      <w:t>UNION OF ORTHODOX JEWISH CONGREGATIONS OF AMERICA</w:t>
    </w:r>
  </w:p>
  <w:p w:rsidR="009C34F2" w:rsidRDefault="009C34F2" w:rsidP="00503F94">
    <w:pPr>
      <w:pStyle w:val="ReturnAddress"/>
      <w:framePr w:w="0" w:wrap="auto" w:vAnchor="margin" w:hAnchor="text" w:xAlign="left" w:yAlign="inline"/>
      <w:tabs>
        <w:tab w:val="clear" w:pos="2160"/>
        <w:tab w:val="left" w:pos="1440"/>
      </w:tabs>
      <w:rPr>
        <w:b/>
        <w:sz w:val="16"/>
      </w:rPr>
    </w:pPr>
    <w:r>
      <w:rPr>
        <w:b/>
        <w:sz w:val="16"/>
      </w:rPr>
      <w:t>820 first STREET, NE, WASHINGTON, DC 20002</w:t>
    </w:r>
  </w:p>
  <w:p w:rsidR="009C34F2" w:rsidRDefault="009C34F2" w:rsidP="00503F94">
    <w:pPr>
      <w:pStyle w:val="ReturnAddress"/>
      <w:framePr w:w="0" w:wrap="auto" w:vAnchor="margin" w:hAnchor="text" w:xAlign="left" w:yAlign="inline"/>
      <w:tabs>
        <w:tab w:val="clear" w:pos="2160"/>
        <w:tab w:val="left" w:pos="1440"/>
      </w:tabs>
      <w:rPr>
        <w:b/>
        <w:sz w:val="16"/>
      </w:rPr>
    </w:pPr>
    <w:hyperlink r:id="rId1" w:history="1">
      <w:r w:rsidRPr="001012A2">
        <w:rPr>
          <w:rStyle w:val="Hyperlink"/>
          <w:b/>
          <w:sz w:val="16"/>
        </w:rPr>
        <w:t>www.OUadvocacy.org</w:t>
      </w:r>
    </w:hyperlink>
  </w:p>
  <w:p w:rsidR="009C34F2" w:rsidRDefault="009C34F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054" w:rsidRDefault="00EE4054" w:rsidP="00C213D1">
      <w:r>
        <w:separator/>
      </w:r>
    </w:p>
  </w:footnote>
  <w:footnote w:type="continuationSeparator" w:id="0">
    <w:p w:rsidR="00EE4054" w:rsidRDefault="00EE4054" w:rsidP="00C213D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4F2" w:rsidRDefault="009C34F2" w:rsidP="00C213D1">
    <w:pPr>
      <w:pStyle w:val="Header"/>
      <w:jc w:val="cent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4F2" w:rsidRDefault="009C34F2" w:rsidP="00503F94">
    <w:pPr>
      <w:pStyle w:val="Header"/>
      <w:jc w:val="center"/>
    </w:pPr>
    <w:r w:rsidRPr="00503F94">
      <w:rPr>
        <w:noProof/>
      </w:rPr>
      <w:drawing>
        <wp:inline distT="0" distB="0" distL="0" distR="0" wp14:anchorId="6206D3C5" wp14:editId="3AF71D56">
          <wp:extent cx="1466850" cy="1471511"/>
          <wp:effectExtent l="19050" t="0" r="0" b="0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14715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2D6ADA"/>
    <w:multiLevelType w:val="hybridMultilevel"/>
    <w:tmpl w:val="6686A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7F4B47"/>
    <w:multiLevelType w:val="hybridMultilevel"/>
    <w:tmpl w:val="12C42C8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>
    <w:nsid w:val="20BD2442"/>
    <w:multiLevelType w:val="multilevel"/>
    <w:tmpl w:val="872E9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AA7487"/>
    <w:multiLevelType w:val="hybridMultilevel"/>
    <w:tmpl w:val="753858BE"/>
    <w:lvl w:ilvl="0" w:tplc="1C6C9FC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3301E7"/>
    <w:multiLevelType w:val="hybridMultilevel"/>
    <w:tmpl w:val="953A807C"/>
    <w:lvl w:ilvl="0" w:tplc="B86CA3C6">
      <w:start w:val="1"/>
      <w:numFmt w:val="decimal"/>
      <w:lvlText w:val="%1."/>
      <w:lvlJc w:val="left"/>
      <w:pPr>
        <w:ind w:left="32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4F485B"/>
    <w:multiLevelType w:val="hybridMultilevel"/>
    <w:tmpl w:val="38F43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3C3843"/>
    <w:multiLevelType w:val="hybridMultilevel"/>
    <w:tmpl w:val="A386B7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2995818"/>
    <w:multiLevelType w:val="hybridMultilevel"/>
    <w:tmpl w:val="719E4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BD4156"/>
    <w:multiLevelType w:val="hybridMultilevel"/>
    <w:tmpl w:val="EA36BEB4"/>
    <w:lvl w:ilvl="0" w:tplc="64D82B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8403DD9"/>
    <w:multiLevelType w:val="hybridMultilevel"/>
    <w:tmpl w:val="DBFE2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0D1CE8"/>
    <w:multiLevelType w:val="hybridMultilevel"/>
    <w:tmpl w:val="FF9493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4"/>
  </w:num>
  <w:num w:numId="4">
    <w:abstractNumId w:val="3"/>
  </w:num>
  <w:num w:numId="5">
    <w:abstractNumId w:val="9"/>
  </w:num>
  <w:num w:numId="6">
    <w:abstractNumId w:val="0"/>
  </w:num>
  <w:num w:numId="7">
    <w:abstractNumId w:val="8"/>
  </w:num>
  <w:num w:numId="8">
    <w:abstractNumId w:val="2"/>
  </w:num>
  <w:num w:numId="9">
    <w:abstractNumId w:val="10"/>
  </w:num>
  <w:num w:numId="10">
    <w:abstractNumId w:val="7"/>
  </w:num>
  <w:num w:numId="11">
    <w:abstractNumId w:val="6"/>
  </w:num>
  <w:num w:numId="1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ims, Rachel">
    <w15:presenceInfo w15:providerId="AD" w15:userId="S::Simsr@ou.org::7896eb18-e85e-4903-8c9d-e656c803413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8A9"/>
    <w:rsid w:val="00006D0A"/>
    <w:rsid w:val="00042392"/>
    <w:rsid w:val="000806A5"/>
    <w:rsid w:val="000B4196"/>
    <w:rsid w:val="000E5FD1"/>
    <w:rsid w:val="00181241"/>
    <w:rsid w:val="00190D8D"/>
    <w:rsid w:val="001B4F08"/>
    <w:rsid w:val="001D5A66"/>
    <w:rsid w:val="001F7E31"/>
    <w:rsid w:val="00224642"/>
    <w:rsid w:val="0023532B"/>
    <w:rsid w:val="00242258"/>
    <w:rsid w:val="00243284"/>
    <w:rsid w:val="00261574"/>
    <w:rsid w:val="002A1615"/>
    <w:rsid w:val="002B48B3"/>
    <w:rsid w:val="002F48ED"/>
    <w:rsid w:val="003368CD"/>
    <w:rsid w:val="0035586B"/>
    <w:rsid w:val="003C236D"/>
    <w:rsid w:val="003C2544"/>
    <w:rsid w:val="00490A95"/>
    <w:rsid w:val="004A6555"/>
    <w:rsid w:val="00503F94"/>
    <w:rsid w:val="00514D7B"/>
    <w:rsid w:val="00550A92"/>
    <w:rsid w:val="00616EF5"/>
    <w:rsid w:val="006364DF"/>
    <w:rsid w:val="00674F0F"/>
    <w:rsid w:val="00723B47"/>
    <w:rsid w:val="00752979"/>
    <w:rsid w:val="00794C6E"/>
    <w:rsid w:val="007C2FDA"/>
    <w:rsid w:val="007E1D39"/>
    <w:rsid w:val="008D4A8B"/>
    <w:rsid w:val="008D66AA"/>
    <w:rsid w:val="0092407F"/>
    <w:rsid w:val="00941E94"/>
    <w:rsid w:val="009C34F2"/>
    <w:rsid w:val="00A06F3D"/>
    <w:rsid w:val="00A5535F"/>
    <w:rsid w:val="00A928B2"/>
    <w:rsid w:val="00AB00B0"/>
    <w:rsid w:val="00AD0D06"/>
    <w:rsid w:val="00AD70D1"/>
    <w:rsid w:val="00AF3D4A"/>
    <w:rsid w:val="00B12AEF"/>
    <w:rsid w:val="00B21FFC"/>
    <w:rsid w:val="00B53EA3"/>
    <w:rsid w:val="00B67253"/>
    <w:rsid w:val="00B72183"/>
    <w:rsid w:val="00B753B4"/>
    <w:rsid w:val="00BA11B4"/>
    <w:rsid w:val="00BA3E7B"/>
    <w:rsid w:val="00BB4ADD"/>
    <w:rsid w:val="00BE3444"/>
    <w:rsid w:val="00C0735E"/>
    <w:rsid w:val="00C213D1"/>
    <w:rsid w:val="00CD681B"/>
    <w:rsid w:val="00CF48A9"/>
    <w:rsid w:val="00D54241"/>
    <w:rsid w:val="00DC7D3C"/>
    <w:rsid w:val="00DF321A"/>
    <w:rsid w:val="00E448DC"/>
    <w:rsid w:val="00E56127"/>
    <w:rsid w:val="00E843E1"/>
    <w:rsid w:val="00EE4054"/>
    <w:rsid w:val="00EE6717"/>
    <w:rsid w:val="00EF4B64"/>
    <w:rsid w:val="00F20F9C"/>
    <w:rsid w:val="00F33F15"/>
    <w:rsid w:val="00F468A9"/>
    <w:rsid w:val="00FE3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145EF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8A9"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2183"/>
    <w:pPr>
      <w:spacing w:after="0"/>
    </w:pPr>
  </w:style>
  <w:style w:type="paragraph" w:styleId="ListParagraph">
    <w:name w:val="List Paragraph"/>
    <w:basedOn w:val="Normal"/>
    <w:uiPriority w:val="34"/>
    <w:qFormat/>
    <w:rsid w:val="00B721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213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213D1"/>
    <w:rPr>
      <w:rFonts w:ascii="Calibri" w:hAnsi="Calibri" w:cs="Times New Roman"/>
    </w:rPr>
  </w:style>
  <w:style w:type="paragraph" w:styleId="Footer">
    <w:name w:val="footer"/>
    <w:basedOn w:val="Normal"/>
    <w:link w:val="FooterChar"/>
    <w:unhideWhenUsed/>
    <w:rsid w:val="00C213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213D1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13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3D1"/>
    <w:rPr>
      <w:rFonts w:ascii="Tahoma" w:hAnsi="Tahoma" w:cs="Tahoma"/>
      <w:sz w:val="16"/>
      <w:szCs w:val="16"/>
    </w:rPr>
  </w:style>
  <w:style w:type="paragraph" w:customStyle="1" w:styleId="ReturnAddress">
    <w:name w:val="Return Address"/>
    <w:rsid w:val="00B21FFC"/>
    <w:pPr>
      <w:framePr w:w="8640" w:wrap="notBeside" w:vAnchor="page" w:hAnchor="page" w:x="1729" w:y="14401" w:anchorLock="1"/>
      <w:tabs>
        <w:tab w:val="left" w:pos="2160"/>
      </w:tabs>
      <w:spacing w:after="0" w:line="240" w:lineRule="atLeast"/>
      <w:ind w:right="-240"/>
      <w:jc w:val="center"/>
    </w:pPr>
    <w:rPr>
      <w:rFonts w:ascii="Garamond" w:eastAsia="Times New Roman" w:hAnsi="Garamond" w:cs="Times New Roman"/>
      <w:caps/>
      <w:spacing w:val="30"/>
      <w:sz w:val="15"/>
      <w:szCs w:val="20"/>
    </w:rPr>
  </w:style>
  <w:style w:type="character" w:styleId="Hyperlink">
    <w:name w:val="Hyperlink"/>
    <w:basedOn w:val="DefaultParagraphFont"/>
    <w:uiPriority w:val="99"/>
    <w:unhideWhenUsed/>
    <w:rsid w:val="00B21FF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D0D06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AD0D06"/>
    <w:rPr>
      <w:b/>
      <w:bCs/>
    </w:rPr>
  </w:style>
  <w:style w:type="paragraph" w:customStyle="1" w:styleId="Default">
    <w:name w:val="Default"/>
    <w:rsid w:val="00E448DC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Helvetica Neue" w:eastAsia="Arial Unicode MS" w:hAnsi="Helvetica Neue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styleId="PageNumber">
    <w:name w:val="page number"/>
    <w:basedOn w:val="DefaultParagraphFont"/>
    <w:uiPriority w:val="99"/>
    <w:semiHidden/>
    <w:unhideWhenUsed/>
    <w:rsid w:val="00AF3D4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8A9"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2183"/>
    <w:pPr>
      <w:spacing w:after="0"/>
    </w:pPr>
  </w:style>
  <w:style w:type="paragraph" w:styleId="ListParagraph">
    <w:name w:val="List Paragraph"/>
    <w:basedOn w:val="Normal"/>
    <w:uiPriority w:val="34"/>
    <w:qFormat/>
    <w:rsid w:val="00B721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213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213D1"/>
    <w:rPr>
      <w:rFonts w:ascii="Calibri" w:hAnsi="Calibri" w:cs="Times New Roman"/>
    </w:rPr>
  </w:style>
  <w:style w:type="paragraph" w:styleId="Footer">
    <w:name w:val="footer"/>
    <w:basedOn w:val="Normal"/>
    <w:link w:val="FooterChar"/>
    <w:unhideWhenUsed/>
    <w:rsid w:val="00C213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213D1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13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3D1"/>
    <w:rPr>
      <w:rFonts w:ascii="Tahoma" w:hAnsi="Tahoma" w:cs="Tahoma"/>
      <w:sz w:val="16"/>
      <w:szCs w:val="16"/>
    </w:rPr>
  </w:style>
  <w:style w:type="paragraph" w:customStyle="1" w:styleId="ReturnAddress">
    <w:name w:val="Return Address"/>
    <w:rsid w:val="00B21FFC"/>
    <w:pPr>
      <w:framePr w:w="8640" w:wrap="notBeside" w:vAnchor="page" w:hAnchor="page" w:x="1729" w:y="14401" w:anchorLock="1"/>
      <w:tabs>
        <w:tab w:val="left" w:pos="2160"/>
      </w:tabs>
      <w:spacing w:after="0" w:line="240" w:lineRule="atLeast"/>
      <w:ind w:right="-240"/>
      <w:jc w:val="center"/>
    </w:pPr>
    <w:rPr>
      <w:rFonts w:ascii="Garamond" w:eastAsia="Times New Roman" w:hAnsi="Garamond" w:cs="Times New Roman"/>
      <w:caps/>
      <w:spacing w:val="30"/>
      <w:sz w:val="15"/>
      <w:szCs w:val="20"/>
    </w:rPr>
  </w:style>
  <w:style w:type="character" w:styleId="Hyperlink">
    <w:name w:val="Hyperlink"/>
    <w:basedOn w:val="DefaultParagraphFont"/>
    <w:uiPriority w:val="99"/>
    <w:unhideWhenUsed/>
    <w:rsid w:val="00B21FF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D0D06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AD0D06"/>
    <w:rPr>
      <w:b/>
      <w:bCs/>
    </w:rPr>
  </w:style>
  <w:style w:type="paragraph" w:customStyle="1" w:styleId="Default">
    <w:name w:val="Default"/>
    <w:rsid w:val="00E448DC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Helvetica Neue" w:eastAsia="Arial Unicode MS" w:hAnsi="Helvetica Neue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styleId="PageNumber">
    <w:name w:val="page number"/>
    <w:basedOn w:val="DefaultParagraphFont"/>
    <w:uiPriority w:val="99"/>
    <w:semiHidden/>
    <w:unhideWhenUsed/>
    <w:rsid w:val="00AF3D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5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5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Uadvocacy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UADC-04\Desktop\OUA%20Mem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\Users\OUADC-04\Desktop\OUA Memo.dotx</Template>
  <TotalTime>7</TotalTime>
  <Pages>1</Pages>
  <Words>1106</Words>
  <Characters>6310</Characters>
  <Application>Microsoft Macintosh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 J. Diament</dc:creator>
  <cp:lastModifiedBy>NJ Diament</cp:lastModifiedBy>
  <cp:revision>5</cp:revision>
  <cp:lastPrinted>2013-06-03T20:56:00Z</cp:lastPrinted>
  <dcterms:created xsi:type="dcterms:W3CDTF">2020-03-26T00:27:00Z</dcterms:created>
  <dcterms:modified xsi:type="dcterms:W3CDTF">2020-03-26T00:47:00Z</dcterms:modified>
</cp:coreProperties>
</file>